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57" w:rsidRDefault="0009105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26654" w:rsidRPr="00A26654" w:rsidRDefault="00A26654" w:rsidP="00A26654">
      <w:pPr>
        <w:spacing w:after="0"/>
        <w:jc w:val="center"/>
        <w:rPr>
          <w:rFonts w:eastAsia="Calibri"/>
          <w:sz w:val="32"/>
          <w:szCs w:val="32"/>
        </w:rPr>
      </w:pPr>
      <w:r w:rsidRPr="00A26654">
        <w:rPr>
          <w:rFonts w:eastAsia="Calibri"/>
          <w:sz w:val="32"/>
          <w:szCs w:val="32"/>
        </w:rPr>
        <w:t>АДМИНИСТРАЦИЯ ЕНИСЕЙСКОГО РАЙОНА</w:t>
      </w:r>
    </w:p>
    <w:p w:rsidR="00A26654" w:rsidRPr="00A26654" w:rsidRDefault="00A26654" w:rsidP="00A26654">
      <w:pPr>
        <w:spacing w:after="0"/>
        <w:jc w:val="center"/>
        <w:rPr>
          <w:rFonts w:ascii="Times New Roman" w:eastAsia="Calibri" w:hAnsi="Times New Roman"/>
        </w:rPr>
      </w:pPr>
      <w:r w:rsidRPr="00A26654">
        <w:rPr>
          <w:rFonts w:ascii="Times New Roman" w:eastAsia="Calibri" w:hAnsi="Times New Roman"/>
        </w:rPr>
        <w:t>Красноярского края</w:t>
      </w:r>
    </w:p>
    <w:p w:rsidR="00A26654" w:rsidRPr="00A26654" w:rsidRDefault="00A26654" w:rsidP="00A26654">
      <w:pPr>
        <w:spacing w:after="0"/>
        <w:jc w:val="center"/>
        <w:rPr>
          <w:rFonts w:ascii="Times New Roman" w:eastAsia="Calibri" w:hAnsi="Times New Roman"/>
          <w:sz w:val="32"/>
          <w:szCs w:val="32"/>
        </w:rPr>
      </w:pPr>
      <w:r w:rsidRPr="00A26654">
        <w:rPr>
          <w:rFonts w:ascii="Times New Roman" w:eastAsia="Calibri" w:hAnsi="Times New Roman"/>
          <w:sz w:val="32"/>
          <w:szCs w:val="32"/>
        </w:rPr>
        <w:t>ПОСТАНОВЛЕНИЕ</w:t>
      </w:r>
    </w:p>
    <w:p w:rsidR="00A26654" w:rsidRPr="00A26654" w:rsidRDefault="00A26654" w:rsidP="00A26654">
      <w:pPr>
        <w:spacing w:after="0"/>
        <w:jc w:val="center"/>
        <w:rPr>
          <w:rFonts w:eastAsia="Calibri"/>
        </w:rPr>
      </w:pPr>
    </w:p>
    <w:p w:rsidR="00A26654" w:rsidRPr="00A26654" w:rsidRDefault="00A26654" w:rsidP="00A26654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A26654">
        <w:rPr>
          <w:rFonts w:ascii="Times New Roman" w:eastAsia="Calibri" w:hAnsi="Times New Roman"/>
          <w:sz w:val="28"/>
          <w:szCs w:val="28"/>
        </w:rPr>
        <w:t xml:space="preserve">8.05.2025                                </w:t>
      </w:r>
      <w:r w:rsidRPr="00A26654">
        <w:rPr>
          <w:rFonts w:ascii="Times New Roman" w:eastAsia="Calibri" w:hAnsi="Times New Roman"/>
          <w:sz w:val="24"/>
          <w:szCs w:val="24"/>
        </w:rPr>
        <w:t>г. Енисейск</w:t>
      </w:r>
      <w:r w:rsidRPr="00A26654">
        <w:rPr>
          <w:rFonts w:ascii="Times New Roman" w:eastAsia="Calibri" w:hAnsi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/>
          <w:sz w:val="28"/>
          <w:szCs w:val="28"/>
        </w:rPr>
        <w:t>393</w:t>
      </w:r>
      <w:r w:rsidRPr="00A26654">
        <w:rPr>
          <w:rFonts w:ascii="Times New Roman" w:eastAsia="Calibri" w:hAnsi="Times New Roman"/>
          <w:sz w:val="28"/>
          <w:szCs w:val="28"/>
        </w:rPr>
        <w:t>-п</w:t>
      </w:r>
    </w:p>
    <w:p w:rsidR="00091057" w:rsidRDefault="0009105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91057" w:rsidRDefault="0009105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91057" w:rsidRDefault="0009105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816AD" w:rsidRDefault="004E5BA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расходования средств субсидии, предоставляемой из краевого бюджета в 2025 году бюджету Енисейского района на оснащение музыкальными инструментами детских школ искусств </w:t>
      </w:r>
    </w:p>
    <w:p w:rsidR="009816AD" w:rsidRDefault="009816A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816AD" w:rsidRDefault="004E5BAB" w:rsidP="0009105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09105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юджетным кодексом Российской Федерации, Законом Красноярского края от 05.12.2024 №8-3382 «О краевом Бюджете на 2025 год и плановый период 2026-2027 годов», постановлением Правительства Красноярского края от 10.04.2020 №208-п, постановлением Правительства Красноярского края от 29.04.2025 №354-п «Об утверждении Порядка предоставления и распределения субсидий бюджетам муниципальных образований Красноярского края на оснащение музыкальными инструментами детских школ искусств муниципальных образований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края, </w:t>
      </w:r>
      <w:hyperlink r:id="rId8" w:history="1">
        <w:r>
          <w:rPr>
            <w:rFonts w:ascii="Times New Roman" w:hAnsi="Times New Roman"/>
            <w:iCs/>
            <w:sz w:val="28"/>
            <w:szCs w:val="28"/>
          </w:rPr>
          <w:t>постановлением Правительства Красноярского края от 30.09.2013 № 511-п</w:t>
        </w:r>
      </w:hyperlink>
      <w:r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Красноярского края «Развитие культуры и </w:t>
      </w:r>
      <w:r>
        <w:rPr>
          <w:rFonts w:ascii="Times New Roman" w:hAnsi="Times New Roman"/>
          <w:color w:val="000000"/>
          <w:sz w:val="28"/>
          <w:szCs w:val="28"/>
        </w:rPr>
        <w:t xml:space="preserve">туризма», </w:t>
      </w:r>
      <w:r>
        <w:rPr>
          <w:rFonts w:ascii="Times New Roman" w:hAnsi="Times New Roman"/>
          <w:sz w:val="28"/>
          <w:szCs w:val="28"/>
        </w:rPr>
        <w:t>решением Енисейского районного Совета депутатов от 19.12.2024 № 43-429р «О районном бюджете на 2025 год и плановый период 2026-2027 годов», соглашением о предоставлении субсидии из бюджета субъекта Российской Федерации местному бюджету от 30.04.2025 № 145 (далее – Соглашение), руководствуясь статьями 16, 29 Уставом Енисейского района, ПОСТАНОВЛЯЮ:</w:t>
      </w:r>
    </w:p>
    <w:p w:rsidR="009816AD" w:rsidRDefault="004E5BAB" w:rsidP="0009105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91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Порядок расходования средств субсидии, предоставляемой из краевого бюджета в 2025 году бюджету Енисейского района на оснащение музыкальными инструментами детских школ иску</w:t>
      </w:r>
      <w:proofErr w:type="gramStart"/>
      <w:r>
        <w:rPr>
          <w:rFonts w:ascii="Times New Roman" w:hAnsi="Times New Roman"/>
          <w:sz w:val="28"/>
          <w:szCs w:val="28"/>
        </w:rPr>
        <w:t>сств в с</w:t>
      </w:r>
      <w:proofErr w:type="gramEnd"/>
      <w:r>
        <w:rPr>
          <w:rFonts w:ascii="Times New Roman" w:hAnsi="Times New Roman"/>
          <w:sz w:val="28"/>
          <w:szCs w:val="28"/>
        </w:rPr>
        <w:t>оответствии с приложением к настоящему постановлению.</w:t>
      </w:r>
    </w:p>
    <w:p w:rsidR="009816AD" w:rsidRDefault="004E5BAB" w:rsidP="00091057">
      <w:pPr>
        <w:pStyle w:val="10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9105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</w:t>
      </w:r>
      <w:r w:rsidR="0009105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района по социальной сфере </w:t>
      </w:r>
      <w:proofErr w:type="spellStart"/>
      <w:r>
        <w:rPr>
          <w:rFonts w:ascii="Times New Roman" w:hAnsi="Times New Roman"/>
          <w:sz w:val="28"/>
          <w:szCs w:val="28"/>
        </w:rPr>
        <w:t>В.А.Пистер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816AD" w:rsidRDefault="004E5BAB" w:rsidP="0009105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91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вступает в силу после официального опубликования (обнародования) и</w:t>
      </w:r>
      <w:r>
        <w:rPr>
          <w:rFonts w:ascii="Times New Roman" w:hAnsi="Times New Roman"/>
          <w:sz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091057" w:rsidRDefault="00091057" w:rsidP="0009105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16AD" w:rsidRDefault="009816AD">
      <w:pPr>
        <w:pStyle w:val="1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816AD" w:rsidRDefault="004E5BA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Н.А.Капустинская</w:t>
      </w:r>
      <w:proofErr w:type="spellEnd"/>
    </w:p>
    <w:p w:rsidR="009816AD" w:rsidRDefault="00981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816AD" w:rsidRDefault="00981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26654" w:rsidRDefault="00A26654" w:rsidP="00091057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091057" w:rsidRDefault="004E5BAB" w:rsidP="00091057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постановлению </w:t>
      </w:r>
    </w:p>
    <w:p w:rsidR="009816AD" w:rsidRDefault="004E5BAB" w:rsidP="00091057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района</w:t>
      </w:r>
    </w:p>
    <w:p w:rsidR="009816AD" w:rsidRDefault="004E5B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от _______2025  № </w:t>
      </w:r>
      <w:r w:rsidR="00091057">
        <w:rPr>
          <w:rFonts w:ascii="Times New Roman" w:hAnsi="Times New Roman"/>
          <w:bCs/>
          <w:sz w:val="28"/>
          <w:szCs w:val="28"/>
        </w:rPr>
        <w:t xml:space="preserve">       -</w:t>
      </w:r>
      <w:proofErr w:type="gramStart"/>
      <w:r w:rsidR="00091057">
        <w:rPr>
          <w:rFonts w:ascii="Times New Roman" w:hAnsi="Times New Roman"/>
          <w:bCs/>
          <w:sz w:val="28"/>
          <w:szCs w:val="28"/>
        </w:rPr>
        <w:t>п</w:t>
      </w:r>
      <w:proofErr w:type="gramEnd"/>
    </w:p>
    <w:p w:rsidR="009816AD" w:rsidRDefault="009816AD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9816AD" w:rsidRDefault="00981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816AD" w:rsidRDefault="004E5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</w:p>
    <w:p w:rsidR="009816AD" w:rsidRDefault="004E5BA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расходования средств субсидии</w:t>
      </w:r>
      <w:r w:rsidR="000910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предоставляемой из краевого бюджета в 2025 году бюджету Енисейского района  на оснащение музыкальными инструментами детских школ искусств.</w:t>
      </w:r>
    </w:p>
    <w:p w:rsidR="009816AD" w:rsidRDefault="009816A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816AD" w:rsidRDefault="004E5B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</w:t>
      </w:r>
      <w:r w:rsidR="0009105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орядок устанавливает механизм расходования средств субсидии</w:t>
      </w:r>
      <w:r w:rsidR="000910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предоставляемой из краевого бюджета в 2025 году бюджету Енисейского района на оснащение музыкальными инструментами детских школ искусств  (далее – Субсидия).</w:t>
      </w:r>
    </w:p>
    <w:p w:rsidR="009816AD" w:rsidRDefault="004E5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Главным распорядителем Субсидии является Муниципальное казенное учреждение Енисейского района «Комитет по культуре Енисейского района»  (далее – МКУ «Комитет по культуре Енисейского района»).</w:t>
      </w:r>
    </w:p>
    <w:p w:rsidR="009816AD" w:rsidRDefault="004E5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МКУ «Комитет по культуре Енисейского района» предоставляет средства Субсидии Муниципальному бюджетному учреждению дополнительного образования «Детская школа искусств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одтесово</w:t>
      </w:r>
      <w:proofErr w:type="spellEnd"/>
      <w:r>
        <w:rPr>
          <w:rFonts w:ascii="Times New Roman" w:hAnsi="Times New Roman"/>
          <w:sz w:val="28"/>
          <w:szCs w:val="28"/>
        </w:rPr>
        <w:t xml:space="preserve">» Енисейского района, Муниципальному бюджетному учреждению дополнительного образования «Детская школа искусств </w:t>
      </w:r>
      <w:proofErr w:type="spellStart"/>
      <w:r>
        <w:rPr>
          <w:rFonts w:ascii="Times New Roman" w:hAnsi="Times New Roman"/>
          <w:sz w:val="28"/>
          <w:szCs w:val="28"/>
        </w:rPr>
        <w:t>с.Верхнепашино</w:t>
      </w:r>
      <w:proofErr w:type="spellEnd"/>
      <w:r>
        <w:rPr>
          <w:rFonts w:ascii="Times New Roman" w:hAnsi="Times New Roman"/>
          <w:sz w:val="28"/>
          <w:szCs w:val="28"/>
        </w:rPr>
        <w:t>» Енисейского района, (далее – Получатель) в виде субсидии на иные цели, не связанные с финансовым обеспечением выполнения муниципального задания на оказание муниципальных услуг (выполнение работ) (далее – субсидии на иные цели) на основании соглашения о предоставлении субсидии на иные цели</w:t>
      </w:r>
      <w:r>
        <w:rPr>
          <w:rFonts w:ascii="Times New Roman" w:hAnsi="Times New Roman"/>
          <w:sz w:val="28"/>
          <w:szCs w:val="28"/>
          <w:shd w:val="clear" w:color="FFFFFF" w:fill="D9D9D9"/>
        </w:rPr>
        <w:t>,</w:t>
      </w:r>
      <w:r>
        <w:rPr>
          <w:rFonts w:ascii="Times New Roman" w:hAnsi="Times New Roman"/>
          <w:sz w:val="28"/>
          <w:szCs w:val="28"/>
        </w:rPr>
        <w:t xml:space="preserve"> заключенного между МКУ «Комитет по культуре Енисейского района» и Получателем (далее – соглашение на иные цели).</w:t>
      </w:r>
    </w:p>
    <w:p w:rsidR="009816AD" w:rsidRDefault="004E5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Субсидия носит целевой характер и не может быть использована на другие цели.</w:t>
      </w:r>
    </w:p>
    <w:p w:rsidR="009816AD" w:rsidRDefault="004E5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Финансовое управление администрации Енисейского района в течение 3-х рабочих дней после поступления средств Субсидии в бюджет района или доведения предельных объемов финансирования средств Субсидии на лицевой счет по переданным полномочиям главного распорядителя средств краевого бюджета в пределах утвержденной  бюджетной росписи и лимитов бюджетных обязательств перечисляет средств Субсидии на лицевой счет МКУ «Комитет по культуре Енисейского района» на основании заявки на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финансирование.</w:t>
      </w:r>
    </w:p>
    <w:p w:rsidR="009816AD" w:rsidRDefault="004E5BAB">
      <w:pPr>
        <w:pStyle w:val="1"/>
        <w:ind w:firstLine="540"/>
        <w:jc w:val="both"/>
      </w:pPr>
      <w:r>
        <w:rPr>
          <w:rFonts w:ascii="Times New Roman" w:hAnsi="Times New Roman"/>
          <w:sz w:val="28"/>
          <w:szCs w:val="28"/>
        </w:rPr>
        <w:t>6. МКУ «Комитет по культуре Енисейского района»</w:t>
      </w:r>
      <w:r w:rsidR="00091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3-х рабочих дней после зачисления на лицевой счет перечисляет данные средства Получателю.</w:t>
      </w:r>
    </w:p>
    <w:p w:rsidR="009816AD" w:rsidRDefault="004E5BAB" w:rsidP="00091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Получатель предоставляет МКУ «Комитет по культуре Енисейского района» не позднее 10</w:t>
      </w:r>
      <w:r>
        <w:rPr>
          <w:rFonts w:ascii="Times New Roman" w:hAnsi="Times New Roman"/>
          <w:color w:val="000000"/>
          <w:sz w:val="28"/>
          <w:szCs w:val="28"/>
        </w:rPr>
        <w:t xml:space="preserve"> января года, следующего за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816AD" w:rsidRDefault="004E5BAB" w:rsidP="00091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отчет о расходах средств  субсидий на иные цели на оснащение музыкальными инструментами детских школ искусств   по форме согласно приложению № 1 к настоящему Порядку;</w:t>
      </w:r>
    </w:p>
    <w:p w:rsidR="009816AD" w:rsidRDefault="004E5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отчет  о достижении значений результатов использования субсидий на иные цели  на оснащение музыкальными инструментами детских школ искусств  по форме согласно приложению № 2 к  настоящему Порядку.</w:t>
      </w:r>
    </w:p>
    <w:p w:rsidR="009816AD" w:rsidRDefault="004E5BAB">
      <w:pPr>
        <w:pStyle w:val="ConsPlusNormal"/>
        <w:ind w:firstLine="540"/>
        <w:jc w:val="both"/>
      </w:pPr>
      <w:r>
        <w:t>8. МКУ «Комитет по культуре Енисейского района» представляет в министерство культуры Красноярского края отчеты об использовании средств Субсидии по форме и в сроки установленным Соглашением.</w:t>
      </w:r>
    </w:p>
    <w:p w:rsidR="009816AD" w:rsidRDefault="004E5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091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Неиспользованные средства Субсидии подлежат возврату в краевой бюджет в установленном порядке.</w:t>
      </w:r>
    </w:p>
    <w:p w:rsidR="009816AD" w:rsidRDefault="004E5BAB">
      <w:pPr>
        <w:pStyle w:val="1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  <w:sectPr w:rsidR="009816AD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10. Ответственность за целевое и эффективное использование предоставленных средств Субсидии возлагается на МКУ «Комитет по культуре Енисейского района» и Муниципальное бюджетное учреждение дополнительного образования «Детская школа искусств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одтесово</w:t>
      </w:r>
      <w:proofErr w:type="spellEnd"/>
      <w:r>
        <w:rPr>
          <w:rFonts w:ascii="Times New Roman" w:hAnsi="Times New Roman"/>
          <w:sz w:val="28"/>
          <w:szCs w:val="28"/>
        </w:rPr>
        <w:t xml:space="preserve">» Енисейского района, Муниципальное бюджетное учреждение дополнительного образования «Детская школа искусств </w:t>
      </w:r>
      <w:proofErr w:type="spellStart"/>
      <w:r>
        <w:rPr>
          <w:rFonts w:ascii="Times New Roman" w:hAnsi="Times New Roman"/>
          <w:sz w:val="28"/>
          <w:szCs w:val="28"/>
        </w:rPr>
        <w:t>с.Верхнепашино</w:t>
      </w:r>
      <w:proofErr w:type="spellEnd"/>
      <w:r>
        <w:rPr>
          <w:rFonts w:ascii="Times New Roman" w:hAnsi="Times New Roman"/>
          <w:sz w:val="28"/>
          <w:szCs w:val="28"/>
        </w:rPr>
        <w:t>» Енисейского</w:t>
      </w:r>
      <w:r w:rsidR="00091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091057">
        <w:rPr>
          <w:rFonts w:ascii="Times New Roman" w:hAnsi="Times New Roman"/>
          <w:sz w:val="28"/>
          <w:szCs w:val="28"/>
        </w:rPr>
        <w:t>.</w:t>
      </w:r>
    </w:p>
    <w:p w:rsidR="009816AD" w:rsidRDefault="009816AD">
      <w:pPr>
        <w:rPr>
          <w:rFonts w:ascii="Times New Roman" w:hAnsi="Times New Roman"/>
          <w:sz w:val="28"/>
          <w:szCs w:val="28"/>
        </w:rPr>
      </w:pPr>
    </w:p>
    <w:p w:rsidR="009816AD" w:rsidRDefault="009816AD">
      <w:pPr>
        <w:ind w:firstLine="709"/>
        <w:rPr>
          <w:rFonts w:ascii="Times New Roman" w:hAnsi="Times New Roman"/>
          <w:sz w:val="28"/>
          <w:szCs w:val="28"/>
        </w:rPr>
      </w:pPr>
    </w:p>
    <w:p w:rsidR="009816AD" w:rsidRDefault="004E5BAB">
      <w:pPr>
        <w:pStyle w:val="ConsPlusNormal"/>
        <w:ind w:left="9912" w:firstLine="11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9816AD" w:rsidRDefault="004E5BAB">
      <w:pPr>
        <w:pStyle w:val="ConsPlusNonformat"/>
        <w:ind w:left="9912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от «__» _______ 20__ г. №___</w:t>
      </w:r>
    </w:p>
    <w:p w:rsidR="009816AD" w:rsidRDefault="004E5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9816AD" w:rsidRDefault="004E5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расходах средств  субсидий на иные цели на оснащение музыкальными инструментами детских школ искусств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9816AD" w:rsidRDefault="004E5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«__» _________ 2025 года</w:t>
      </w:r>
    </w:p>
    <w:p w:rsidR="009816AD" w:rsidRDefault="0098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16AD" w:rsidRDefault="004E5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985"/>
        <w:gridCol w:w="2977"/>
        <w:gridCol w:w="2693"/>
        <w:gridCol w:w="2268"/>
      </w:tblGrid>
      <w:tr w:rsidR="00981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AD" w:rsidRDefault="004E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AD" w:rsidRDefault="004E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9816AD" w:rsidRDefault="0098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AD" w:rsidRDefault="004E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AD" w:rsidRDefault="004E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средствпредусмотренные</w:t>
            </w:r>
            <w:proofErr w:type="spellEnd"/>
          </w:p>
          <w:p w:rsidR="009816AD" w:rsidRDefault="004E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данное мероприятие 2025г.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AD" w:rsidRDefault="004E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9816AD" w:rsidRDefault="004E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816AD" w:rsidRDefault="0098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6AD" w:rsidRDefault="0098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6AD" w:rsidRDefault="0098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6AD" w:rsidRDefault="0098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6AD" w:rsidRDefault="0098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AD" w:rsidRDefault="004E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Остаток средств по состоянию на отчетную дату, причина не использования</w:t>
            </w:r>
          </w:p>
        </w:tc>
      </w:tr>
      <w:tr w:rsidR="009816AD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AD" w:rsidRDefault="004E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AD" w:rsidRDefault="004E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AD" w:rsidRDefault="004E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AD" w:rsidRDefault="004E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AD" w:rsidRDefault="004E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AD" w:rsidRDefault="004E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16AD">
        <w:trPr>
          <w:trHeight w:val="1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AD" w:rsidRDefault="004E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AD" w:rsidRDefault="0098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6AD" w:rsidRDefault="004E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субсидии бюджету Енисейского района на оснащение музыкальными инструментами детских школ искусств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AD" w:rsidRDefault="004E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AD" w:rsidRDefault="0098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AD" w:rsidRDefault="0098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AD" w:rsidRDefault="0098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16AD" w:rsidRDefault="009816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6AD" w:rsidRDefault="009816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6AD" w:rsidRDefault="009816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6AD" w:rsidRDefault="004E5B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_______________  М.П.</w:t>
      </w:r>
    </w:p>
    <w:p w:rsidR="009816AD" w:rsidRDefault="0098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816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16AD" w:rsidRDefault="0009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4E5BAB">
        <w:rPr>
          <w:rFonts w:ascii="Times New Roman" w:hAnsi="Times New Roman"/>
          <w:sz w:val="20"/>
          <w:szCs w:val="20"/>
        </w:rPr>
        <w:t>Приложение № 2</w:t>
      </w:r>
    </w:p>
    <w:p w:rsidR="009816AD" w:rsidRDefault="004E5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Порядку от «___»__________20__г.№___</w:t>
      </w:r>
    </w:p>
    <w:p w:rsidR="009816AD" w:rsidRDefault="009816AD">
      <w:pPr>
        <w:pStyle w:val="ConsPlusNonformat"/>
        <w:rPr>
          <w:rFonts w:ascii="Times New Roman" w:hAnsi="Times New Roman" w:cs="Times New Roman"/>
        </w:rPr>
      </w:pPr>
    </w:p>
    <w:p w:rsidR="009816AD" w:rsidRDefault="009816AD">
      <w:pPr>
        <w:pStyle w:val="ConsPlusNonformat"/>
        <w:rPr>
          <w:rFonts w:ascii="Times New Roman" w:hAnsi="Times New Roman" w:cs="Times New Roman"/>
        </w:rPr>
      </w:pPr>
    </w:p>
    <w:p w:rsidR="009816AD" w:rsidRDefault="009816AD">
      <w:pPr>
        <w:pStyle w:val="ConsPlusNonformat"/>
        <w:jc w:val="center"/>
        <w:rPr>
          <w:rFonts w:ascii="Times New Roman" w:hAnsi="Times New Roman" w:cs="Times New Roman"/>
        </w:rPr>
      </w:pPr>
    </w:p>
    <w:p w:rsidR="009816AD" w:rsidRDefault="009816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16AD" w:rsidRDefault="004E5B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</w:t>
      </w:r>
    </w:p>
    <w:p w:rsidR="009816AD" w:rsidRDefault="004E5B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достижении значений результатов использования  субсидий на иные цели на п</w:t>
      </w:r>
      <w:r>
        <w:rPr>
          <w:rFonts w:ascii="Times New Roman" w:hAnsi="Times New Roman" w:cs="Times New Roman"/>
          <w:sz w:val="24"/>
          <w:szCs w:val="24"/>
        </w:rPr>
        <w:t>редоставление субсидии бюджету Енисейского района на оснащение музыкальными инструментами детских школ искусств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816AD" w:rsidRDefault="004E5B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«____» ____________ 2025 года</w:t>
      </w:r>
    </w:p>
    <w:p w:rsidR="009816AD" w:rsidRDefault="00981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10999"/>
        <w:gridCol w:w="222"/>
      </w:tblGrid>
      <w:tr w:rsidR="009816AD">
        <w:trPr>
          <w:trHeight w:val="322"/>
        </w:trPr>
        <w:tc>
          <w:tcPr>
            <w:tcW w:w="5245" w:type="dxa"/>
            <w:vMerge w:val="restart"/>
          </w:tcPr>
          <w:tbl>
            <w:tblPr>
              <w:tblpPr w:leftFromText="180" w:rightFromText="180" w:vertAnchor="text" w:horzAnchor="margin" w:tblpY="248"/>
              <w:tblOverlap w:val="never"/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1134"/>
              <w:gridCol w:w="1985"/>
              <w:gridCol w:w="1275"/>
              <w:gridCol w:w="1134"/>
              <w:gridCol w:w="1276"/>
              <w:gridCol w:w="1559"/>
            </w:tblGrid>
            <w:tr w:rsidR="009816AD">
              <w:tc>
                <w:tcPr>
                  <w:tcW w:w="2410" w:type="dxa"/>
                  <w:vMerge w:val="restart"/>
                  <w:vAlign w:val="center"/>
                </w:tcPr>
                <w:p w:rsidR="009816AD" w:rsidRDefault="004E5BA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9816AD" w:rsidRDefault="004E5BA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9816AD" w:rsidRDefault="004E5BA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 результативности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9816AD" w:rsidRDefault="004E5BA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 измерения</w:t>
                  </w:r>
                </w:p>
                <w:p w:rsidR="009816AD" w:rsidRDefault="009816A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9816AD" w:rsidRDefault="004E5BA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Значение показателя результата использования субсидии</w:t>
                  </w:r>
                </w:p>
              </w:tc>
              <w:tc>
                <w:tcPr>
                  <w:tcW w:w="1559" w:type="dxa"/>
                  <w:vAlign w:val="center"/>
                </w:tcPr>
                <w:p w:rsidR="009816AD" w:rsidRDefault="004E5BA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9816AD">
              <w:tc>
                <w:tcPr>
                  <w:tcW w:w="2410" w:type="dxa"/>
                  <w:vMerge/>
                </w:tcPr>
                <w:p w:rsidR="009816AD" w:rsidRDefault="009816A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9816AD" w:rsidRDefault="009816A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9816AD" w:rsidRDefault="009816A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9816AD" w:rsidRDefault="009816A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9816AD" w:rsidRDefault="004E5BA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276" w:type="dxa"/>
                </w:tcPr>
                <w:p w:rsidR="009816AD" w:rsidRDefault="004E5BA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559" w:type="dxa"/>
                </w:tcPr>
                <w:p w:rsidR="009816AD" w:rsidRDefault="009816A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816AD">
              <w:tc>
                <w:tcPr>
                  <w:tcW w:w="2410" w:type="dxa"/>
                </w:tcPr>
                <w:p w:rsidR="009816AD" w:rsidRDefault="004E5BA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816AD" w:rsidRDefault="004E5BA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9816AD" w:rsidRDefault="004E5BA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9816AD" w:rsidRDefault="004E5BA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9816AD" w:rsidRDefault="004E5BA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9816AD" w:rsidRDefault="004E5BA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9816AD" w:rsidRDefault="004E5BA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9816AD">
              <w:trPr>
                <w:trHeight w:val="979"/>
              </w:trPr>
              <w:tc>
                <w:tcPr>
                  <w:tcW w:w="2410" w:type="dxa"/>
                  <w:vAlign w:val="center"/>
                </w:tcPr>
                <w:p w:rsidR="009816AD" w:rsidRDefault="004E5BA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субсидии бюджету Енисейского района на оснащение музыкальными инструментами детских школ искусств</w:t>
                  </w:r>
                </w:p>
              </w:tc>
              <w:tc>
                <w:tcPr>
                  <w:tcW w:w="1134" w:type="dxa"/>
                  <w:vAlign w:val="center"/>
                </w:tcPr>
                <w:p w:rsidR="009816AD" w:rsidRDefault="004E5BA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5" w:type="dxa"/>
                </w:tcPr>
                <w:p w:rsidR="009816AD" w:rsidRDefault="004E5B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Количество детских школ искусств, оснащённых музыкальными  инструментами</w:t>
                  </w:r>
                </w:p>
              </w:tc>
              <w:tc>
                <w:tcPr>
                  <w:tcW w:w="1275" w:type="dxa"/>
                  <w:vAlign w:val="center"/>
                </w:tcPr>
                <w:p w:rsidR="009816AD" w:rsidRDefault="004E5BA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1134" w:type="dxa"/>
                </w:tcPr>
                <w:p w:rsidR="009816AD" w:rsidRDefault="009816A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816AD" w:rsidRDefault="009816A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9816AD" w:rsidRDefault="009816A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16AD" w:rsidRDefault="009816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9816AD" w:rsidRDefault="009816A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816AD">
        <w:trPr>
          <w:trHeight w:val="555"/>
        </w:trPr>
        <w:tc>
          <w:tcPr>
            <w:tcW w:w="5245" w:type="dxa"/>
            <w:vMerge/>
          </w:tcPr>
          <w:p w:rsidR="009816AD" w:rsidRDefault="009816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9816AD" w:rsidRDefault="009816A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816AD">
        <w:trPr>
          <w:trHeight w:val="833"/>
        </w:trPr>
        <w:tc>
          <w:tcPr>
            <w:tcW w:w="5245" w:type="dxa"/>
          </w:tcPr>
          <w:p w:rsidR="009816AD" w:rsidRDefault="009816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816AD" w:rsidRDefault="009816A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816AD">
        <w:trPr>
          <w:trHeight w:val="1077"/>
        </w:trPr>
        <w:tc>
          <w:tcPr>
            <w:tcW w:w="5245" w:type="dxa"/>
            <w:vMerge w:val="restart"/>
          </w:tcPr>
          <w:p w:rsidR="009816AD" w:rsidRDefault="009816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9816AD" w:rsidRDefault="009816A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816AD">
        <w:trPr>
          <w:trHeight w:val="322"/>
        </w:trPr>
        <w:tc>
          <w:tcPr>
            <w:tcW w:w="5245" w:type="dxa"/>
            <w:vMerge/>
          </w:tcPr>
          <w:p w:rsidR="009816AD" w:rsidRDefault="009816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9816AD" w:rsidRDefault="009816A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9816AD" w:rsidRDefault="004E5BAB">
      <w:pPr>
        <w:pStyle w:val="ConsPlusNonformat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                                __________________________М.П.</w:t>
      </w:r>
    </w:p>
    <w:p w:rsidR="009816AD" w:rsidRDefault="009816AD">
      <w:pPr>
        <w:pStyle w:val="ConsPlusNormal"/>
        <w:jc w:val="both"/>
        <w:outlineLvl w:val="1"/>
        <w:rPr>
          <w:sz w:val="20"/>
          <w:szCs w:val="20"/>
        </w:rPr>
      </w:pPr>
    </w:p>
    <w:p w:rsidR="009816AD" w:rsidRDefault="009816AD">
      <w:pPr>
        <w:pStyle w:val="ConsPlusNormal"/>
        <w:jc w:val="both"/>
        <w:outlineLvl w:val="1"/>
        <w:rPr>
          <w:sz w:val="24"/>
          <w:szCs w:val="24"/>
        </w:rPr>
      </w:pPr>
    </w:p>
    <w:p w:rsidR="009816AD" w:rsidRDefault="009816AD">
      <w:pPr>
        <w:pStyle w:val="ConsPlusNormal"/>
        <w:jc w:val="both"/>
        <w:outlineLvl w:val="1"/>
        <w:rPr>
          <w:sz w:val="24"/>
          <w:szCs w:val="24"/>
        </w:rPr>
      </w:pPr>
    </w:p>
    <w:p w:rsidR="009816AD" w:rsidRDefault="009816AD">
      <w:pPr>
        <w:ind w:firstLine="709"/>
        <w:rPr>
          <w:rFonts w:ascii="Times New Roman" w:hAnsi="Times New Roman"/>
          <w:sz w:val="28"/>
          <w:szCs w:val="28"/>
        </w:rPr>
      </w:pPr>
    </w:p>
    <w:p w:rsidR="009816AD" w:rsidRDefault="009816AD">
      <w:pPr>
        <w:ind w:firstLine="709"/>
        <w:rPr>
          <w:rFonts w:ascii="Times New Roman" w:hAnsi="Times New Roman"/>
          <w:sz w:val="28"/>
          <w:szCs w:val="28"/>
        </w:rPr>
      </w:pPr>
    </w:p>
    <w:p w:rsidR="009816AD" w:rsidRDefault="009816AD">
      <w:pPr>
        <w:ind w:firstLine="709"/>
        <w:rPr>
          <w:rFonts w:ascii="Times New Roman" w:hAnsi="Times New Roman"/>
          <w:sz w:val="28"/>
          <w:szCs w:val="28"/>
        </w:rPr>
      </w:pPr>
    </w:p>
    <w:p w:rsidR="009816AD" w:rsidRDefault="009816AD">
      <w:pPr>
        <w:ind w:firstLine="709"/>
        <w:rPr>
          <w:rFonts w:ascii="Times New Roman" w:hAnsi="Times New Roman"/>
          <w:sz w:val="28"/>
          <w:szCs w:val="28"/>
        </w:rPr>
      </w:pPr>
    </w:p>
    <w:p w:rsidR="009816AD" w:rsidRDefault="009816AD">
      <w:pPr>
        <w:ind w:firstLine="709"/>
        <w:rPr>
          <w:rFonts w:ascii="Times New Roman" w:hAnsi="Times New Roman"/>
          <w:sz w:val="28"/>
          <w:szCs w:val="28"/>
        </w:rPr>
      </w:pPr>
    </w:p>
    <w:sectPr w:rsidR="0098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D8" w:rsidRDefault="008C5DD8">
      <w:pPr>
        <w:spacing w:line="240" w:lineRule="auto"/>
      </w:pPr>
      <w:r>
        <w:separator/>
      </w:r>
    </w:p>
  </w:endnote>
  <w:endnote w:type="continuationSeparator" w:id="0">
    <w:p w:rsidR="008C5DD8" w:rsidRDefault="008C5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D8" w:rsidRDefault="008C5DD8">
      <w:pPr>
        <w:spacing w:after="0"/>
      </w:pPr>
      <w:r>
        <w:separator/>
      </w:r>
    </w:p>
  </w:footnote>
  <w:footnote w:type="continuationSeparator" w:id="0">
    <w:p w:rsidR="008C5DD8" w:rsidRDefault="008C5D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D14"/>
    <w:rsid w:val="00011582"/>
    <w:rsid w:val="00011A62"/>
    <w:rsid w:val="00036CED"/>
    <w:rsid w:val="0004147B"/>
    <w:rsid w:val="00056704"/>
    <w:rsid w:val="0007787A"/>
    <w:rsid w:val="0008413A"/>
    <w:rsid w:val="00090299"/>
    <w:rsid w:val="00091057"/>
    <w:rsid w:val="000913B9"/>
    <w:rsid w:val="000A1857"/>
    <w:rsid w:val="000A4850"/>
    <w:rsid w:val="00116033"/>
    <w:rsid w:val="00117090"/>
    <w:rsid w:val="00150361"/>
    <w:rsid w:val="00161CA8"/>
    <w:rsid w:val="001622B3"/>
    <w:rsid w:val="00175E1B"/>
    <w:rsid w:val="001B06A5"/>
    <w:rsid w:val="001D08C2"/>
    <w:rsid w:val="001F54FB"/>
    <w:rsid w:val="00206AE9"/>
    <w:rsid w:val="002214E1"/>
    <w:rsid w:val="00224A06"/>
    <w:rsid w:val="00227A21"/>
    <w:rsid w:val="00240ACE"/>
    <w:rsid w:val="002638F8"/>
    <w:rsid w:val="00277A77"/>
    <w:rsid w:val="00284922"/>
    <w:rsid w:val="00297444"/>
    <w:rsid w:val="002B32FB"/>
    <w:rsid w:val="002E1077"/>
    <w:rsid w:val="00300B01"/>
    <w:rsid w:val="003102FE"/>
    <w:rsid w:val="0033713A"/>
    <w:rsid w:val="00345E02"/>
    <w:rsid w:val="00352CC1"/>
    <w:rsid w:val="00355F7A"/>
    <w:rsid w:val="003561C2"/>
    <w:rsid w:val="003638CD"/>
    <w:rsid w:val="003758C6"/>
    <w:rsid w:val="003B371C"/>
    <w:rsid w:val="003D775B"/>
    <w:rsid w:val="004120DA"/>
    <w:rsid w:val="00423C8D"/>
    <w:rsid w:val="0044116F"/>
    <w:rsid w:val="004412DA"/>
    <w:rsid w:val="00476D5E"/>
    <w:rsid w:val="004B3558"/>
    <w:rsid w:val="004C2BEB"/>
    <w:rsid w:val="004C392F"/>
    <w:rsid w:val="004E5BAB"/>
    <w:rsid w:val="004F07DE"/>
    <w:rsid w:val="004F0A31"/>
    <w:rsid w:val="00503ECB"/>
    <w:rsid w:val="005118FB"/>
    <w:rsid w:val="00576FBD"/>
    <w:rsid w:val="005865EE"/>
    <w:rsid w:val="005B3146"/>
    <w:rsid w:val="005C3320"/>
    <w:rsid w:val="005F368D"/>
    <w:rsid w:val="00602871"/>
    <w:rsid w:val="00616DF4"/>
    <w:rsid w:val="00624281"/>
    <w:rsid w:val="006434DA"/>
    <w:rsid w:val="0064667D"/>
    <w:rsid w:val="00670424"/>
    <w:rsid w:val="00685153"/>
    <w:rsid w:val="00692F75"/>
    <w:rsid w:val="006A4630"/>
    <w:rsid w:val="006F75EF"/>
    <w:rsid w:val="00731F56"/>
    <w:rsid w:val="00736F0C"/>
    <w:rsid w:val="00742F20"/>
    <w:rsid w:val="00743B2A"/>
    <w:rsid w:val="00751DFA"/>
    <w:rsid w:val="007769FF"/>
    <w:rsid w:val="007A701A"/>
    <w:rsid w:val="007B602C"/>
    <w:rsid w:val="007C237E"/>
    <w:rsid w:val="007D3351"/>
    <w:rsid w:val="007D7101"/>
    <w:rsid w:val="007E3255"/>
    <w:rsid w:val="007F4D2D"/>
    <w:rsid w:val="007F5932"/>
    <w:rsid w:val="007F7481"/>
    <w:rsid w:val="008007F1"/>
    <w:rsid w:val="0081014D"/>
    <w:rsid w:val="00814906"/>
    <w:rsid w:val="00822447"/>
    <w:rsid w:val="008227D6"/>
    <w:rsid w:val="00822907"/>
    <w:rsid w:val="008267E6"/>
    <w:rsid w:val="00840B06"/>
    <w:rsid w:val="00852944"/>
    <w:rsid w:val="008602E0"/>
    <w:rsid w:val="00862E85"/>
    <w:rsid w:val="00865604"/>
    <w:rsid w:val="008673EF"/>
    <w:rsid w:val="00881567"/>
    <w:rsid w:val="008A063A"/>
    <w:rsid w:val="008A114F"/>
    <w:rsid w:val="008A28F8"/>
    <w:rsid w:val="008B7A37"/>
    <w:rsid w:val="008C5DD8"/>
    <w:rsid w:val="008E0800"/>
    <w:rsid w:val="008F0D9D"/>
    <w:rsid w:val="008F1CDC"/>
    <w:rsid w:val="008F6322"/>
    <w:rsid w:val="00902444"/>
    <w:rsid w:val="0092622C"/>
    <w:rsid w:val="00933682"/>
    <w:rsid w:val="009816AD"/>
    <w:rsid w:val="009913C0"/>
    <w:rsid w:val="00992499"/>
    <w:rsid w:val="00994510"/>
    <w:rsid w:val="009A7E00"/>
    <w:rsid w:val="009D31FD"/>
    <w:rsid w:val="009D5024"/>
    <w:rsid w:val="00A0547C"/>
    <w:rsid w:val="00A26654"/>
    <w:rsid w:val="00A40A95"/>
    <w:rsid w:val="00A43784"/>
    <w:rsid w:val="00A565BC"/>
    <w:rsid w:val="00A57F30"/>
    <w:rsid w:val="00A62EA7"/>
    <w:rsid w:val="00A63C24"/>
    <w:rsid w:val="00A679AD"/>
    <w:rsid w:val="00A71A6A"/>
    <w:rsid w:val="00A72ACF"/>
    <w:rsid w:val="00A7527D"/>
    <w:rsid w:val="00A8330C"/>
    <w:rsid w:val="00A91897"/>
    <w:rsid w:val="00A94A0A"/>
    <w:rsid w:val="00A94AE0"/>
    <w:rsid w:val="00A966CE"/>
    <w:rsid w:val="00AA5470"/>
    <w:rsid w:val="00AA6A1E"/>
    <w:rsid w:val="00AA753B"/>
    <w:rsid w:val="00AC5854"/>
    <w:rsid w:val="00B04248"/>
    <w:rsid w:val="00B1634D"/>
    <w:rsid w:val="00B25A58"/>
    <w:rsid w:val="00B57EB6"/>
    <w:rsid w:val="00B833C7"/>
    <w:rsid w:val="00B96077"/>
    <w:rsid w:val="00BA6937"/>
    <w:rsid w:val="00BB3D91"/>
    <w:rsid w:val="00BD5D28"/>
    <w:rsid w:val="00BD77F8"/>
    <w:rsid w:val="00BE4FCC"/>
    <w:rsid w:val="00C038EF"/>
    <w:rsid w:val="00C05E09"/>
    <w:rsid w:val="00C1290D"/>
    <w:rsid w:val="00C22099"/>
    <w:rsid w:val="00C230F5"/>
    <w:rsid w:val="00C921DC"/>
    <w:rsid w:val="00C92C67"/>
    <w:rsid w:val="00CD5A90"/>
    <w:rsid w:val="00CD6B02"/>
    <w:rsid w:val="00CE0481"/>
    <w:rsid w:val="00D078F6"/>
    <w:rsid w:val="00D07E9C"/>
    <w:rsid w:val="00D102E9"/>
    <w:rsid w:val="00D203E3"/>
    <w:rsid w:val="00D23BDE"/>
    <w:rsid w:val="00D32577"/>
    <w:rsid w:val="00D4096C"/>
    <w:rsid w:val="00D76A8E"/>
    <w:rsid w:val="00D801B5"/>
    <w:rsid w:val="00DC0031"/>
    <w:rsid w:val="00DD7231"/>
    <w:rsid w:val="00DE1FF5"/>
    <w:rsid w:val="00E13E20"/>
    <w:rsid w:val="00E31DDC"/>
    <w:rsid w:val="00E73AC4"/>
    <w:rsid w:val="00E748CB"/>
    <w:rsid w:val="00E75690"/>
    <w:rsid w:val="00E84770"/>
    <w:rsid w:val="00E902C5"/>
    <w:rsid w:val="00E94AE7"/>
    <w:rsid w:val="00E95808"/>
    <w:rsid w:val="00EA3F41"/>
    <w:rsid w:val="00EE0D14"/>
    <w:rsid w:val="00EE532F"/>
    <w:rsid w:val="00EE5857"/>
    <w:rsid w:val="00EF3BD9"/>
    <w:rsid w:val="00F01922"/>
    <w:rsid w:val="00F01976"/>
    <w:rsid w:val="00F01E67"/>
    <w:rsid w:val="00F03F4D"/>
    <w:rsid w:val="00F075E7"/>
    <w:rsid w:val="00F23DDB"/>
    <w:rsid w:val="00F41485"/>
    <w:rsid w:val="00FA7356"/>
    <w:rsid w:val="00FA7A94"/>
    <w:rsid w:val="07FE726F"/>
    <w:rsid w:val="0DA43B5D"/>
    <w:rsid w:val="37C15313"/>
    <w:rsid w:val="474840D1"/>
    <w:rsid w:val="548156B2"/>
    <w:rsid w:val="5EAA477A"/>
    <w:rsid w:val="6A183A10"/>
    <w:rsid w:val="74C751A1"/>
    <w:rsid w:val="7E2E0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">
    <w:name w:val="Без интервала1"/>
    <w:qFormat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qFormat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B4C94CE6B7A636749F0C37DA7FB206A1D7F36CF41F95454045DE3B564AFq6y4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7805-D076-49C1-A008-DB17721A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vt:lpstr>
    </vt:vector>
  </TitlesOfParts>
  <Company>Romeo1994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dc:title>
  <dc:creator>VAO</dc:creator>
  <cp:lastModifiedBy>Лаврова Анна Александровна</cp:lastModifiedBy>
  <cp:revision>19</cp:revision>
  <cp:lastPrinted>2025-05-28T03:12:00Z</cp:lastPrinted>
  <dcterms:created xsi:type="dcterms:W3CDTF">2023-02-09T07:44:00Z</dcterms:created>
  <dcterms:modified xsi:type="dcterms:W3CDTF">2025-05-30T04:30:00Z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88E0A187036E4D5FBC7F787141C1B3C1_12</vt:lpwstr>
  </property>
</Properties>
</file>