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"/>
        <w:gridCol w:w="4095"/>
        <w:gridCol w:w="5811"/>
      </w:tblGrid>
      <w:tr w:rsidR="00D73379" w:rsidRPr="00435F0F" w:rsidTr="00DA571E">
        <w:trPr>
          <w:trHeight w:val="1560"/>
        </w:trPr>
        <w:tc>
          <w:tcPr>
            <w:tcW w:w="10236" w:type="dxa"/>
            <w:gridSpan w:val="3"/>
            <w:tcBorders>
              <w:top w:val="nil"/>
              <w:bottom w:val="single" w:sz="12" w:space="0" w:color="auto"/>
            </w:tcBorders>
          </w:tcPr>
          <w:p w:rsidR="00D73379" w:rsidRPr="00435F0F" w:rsidRDefault="00D73379" w:rsidP="00B40308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2788" w:rsidRDefault="007A2788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2788" w:rsidRDefault="007A2788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2788" w:rsidRDefault="007A2788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2788" w:rsidRDefault="007A2788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10A7" w:rsidRPr="00435F0F" w:rsidRDefault="004E5C79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словия концессионного соглашения в отношении объектов </w:t>
            </w:r>
            <w:r w:rsidR="00D83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 и водоотведения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находящихся в собственности муниципального образования Енисейский район</w:t>
            </w:r>
            <w:r w:rsidR="00DA571E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10A7" w:rsidRPr="00A5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Концессионное соглашение)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созданию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соблюдению сроков его создания и (или) реконструкции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E13FEC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за свой счёт создать и реконструировать определенное </w:t>
            </w:r>
            <w:r w:rsidR="00E13FEC" w:rsidRPr="00E13F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 имущество, входящее в состав Объекта Концессионного соглашения. Перечень мероприятий по созданию и реконструкции предусмотрен в Приложении №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осуществлению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D83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осуществлять деятельность по </w:t>
            </w:r>
            <w:r w:rsidR="000461BA" w:rsidRPr="00D83A6E">
              <w:rPr>
                <w:rFonts w:ascii="Times New Roman" w:hAnsi="Times New Roman" w:cs="Times New Roman"/>
                <w:sz w:val="24"/>
                <w:szCs w:val="24"/>
              </w:rPr>
              <w:t>водоснабжени</w:t>
            </w:r>
            <w:r w:rsidR="00D83A6E" w:rsidRPr="00D83A6E">
              <w:rPr>
                <w:rFonts w:ascii="Times New Roman" w:hAnsi="Times New Roman" w:cs="Times New Roman"/>
                <w:sz w:val="24"/>
                <w:szCs w:val="24"/>
              </w:rPr>
              <w:t>ю и водоотведению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для населения и других потребителей с использование объектов Концессионного соглашения в границах территории Концедента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, а Концедент обязуется предоставить Концессионеру на срок, установленный настоящим Соглашением,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права владения и  пользования 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оглашения для осуществления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указанной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</w:tr>
      <w:tr w:rsidR="0053142A" w:rsidRPr="003B6681" w:rsidTr="00E32A92">
        <w:trPr>
          <w:trHeight w:val="11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267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B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</w:t>
            </w:r>
          </w:p>
        </w:tc>
      </w:tr>
      <w:tr w:rsidR="0053142A" w:rsidRPr="003B6681" w:rsidTr="00E32A92">
        <w:trPr>
          <w:trHeight w:val="138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писание, в том числе технико-экономические показатели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26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Приложении</w:t>
            </w:r>
            <w:proofErr w:type="gramEnd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№ 4 </w:t>
            </w:r>
          </w:p>
        </w:tc>
      </w:tr>
      <w:tr w:rsidR="0053142A" w:rsidRPr="003B6681" w:rsidTr="00E32A92">
        <w:trPr>
          <w:trHeight w:val="602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передачи концессионеру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53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(шестидесяти)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вступления в силу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соглашения.</w:t>
            </w:r>
          </w:p>
        </w:tc>
      </w:tr>
      <w:tr w:rsidR="0053142A" w:rsidRPr="003B6681" w:rsidTr="00E32A92">
        <w:trPr>
          <w:trHeight w:val="7289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3DF9" w:rsidRDefault="00FD3DF9" w:rsidP="00FD3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концессионеру земельных участков, предназначенных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и срок заключения с концессионером договоров аренды (субаренды) этих земельных участков (в случае, если заключение договоров аренды (субаренды) земельных участков необходимо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соглашением), размер арендной платы (ставки арендной платы) за пользование земельным участком или земельными участками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либо формула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размера арендной платы (ставки арендной платы) за пользование земельным участком или земельными участками исходя из обязательных платежей, установленных законодательством Российской Федерации и связанных с правом владения и пользования Концедента земельным участком,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5426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Концедент   обязуется   заключить   с  Концессионером  догово</w:t>
            </w:r>
            <w:proofErr w:type="gramStart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ы)  аренды земельных участков,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которых осуществлен государственный кадастровый учет,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на которых располагаются Объекты Концессионного соглашения и которые необходимы для осуществления Концессионером деятельности,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предусмотренной Концессионным соглашением, без проведения торгов не позднее чем через 60 (шестьдесят) рабочих дней со дня вступления в силу Концессионного соглашения. </w:t>
            </w:r>
          </w:p>
          <w:p w:rsidR="00FD3DF9" w:rsidRDefault="00FD3DF9" w:rsidP="00B35DFB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proofErr w:type="gramStart"/>
            <w:r w:rsidRPr="008E612D">
              <w:t>Если не осуществлен государственный кадастровый учет земельного участка, на котором располагается объект</w:t>
            </w:r>
            <w:r>
              <w:t>, входящий в объект</w:t>
            </w:r>
            <w:r w:rsidRPr="008E612D">
              <w:t xml:space="preserve"> Соглашения и который необходим для осуществления Концессионером деятельности, предусмотренной концессионным Соглашением, Концессионер обращается с соответствующим заявлением </w:t>
            </w:r>
            <w:r>
              <w:t>к Концеденту</w:t>
            </w:r>
            <w:r w:rsidRPr="008E612D">
              <w:t>, на основании которого Концедент обеспечивает выполнение в отношении такого земельного участка кадастровых работ и</w:t>
            </w:r>
            <w:r>
              <w:t xml:space="preserve"> </w:t>
            </w:r>
            <w:r w:rsidRPr="008E612D">
              <w:t xml:space="preserve">осуществление его </w:t>
            </w:r>
            <w:bookmarkStart w:id="1" w:name="_Hlk88041706"/>
            <w:r w:rsidRPr="008E612D">
              <w:t>государственного кадастрового учета</w:t>
            </w:r>
            <w:bookmarkEnd w:id="1"/>
            <w:r w:rsidRPr="008E612D">
              <w:t>.</w:t>
            </w:r>
            <w:proofErr w:type="gramEnd"/>
            <w:r w:rsidRPr="008E612D">
              <w:t xml:space="preserve"> В этом случае договор аренды земельного участка заключается в течение 60 (шестидесяти) рабочих дней с момента осуществления государственного кадастрового учета земельного участка.</w:t>
            </w:r>
          </w:p>
          <w:p w:rsidR="0053142A" w:rsidRPr="003B6681" w:rsidRDefault="00FD3DF9" w:rsidP="00B35DFB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r>
              <w:t>Договор аренды земельных участков заключается на срок действия Концессионного соглашения.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Расчет годовой суммы арендной платы производится по формуле: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А = Кс x 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х К2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, 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где: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А - арендная плата за земельный участок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в год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(рублей);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Кс - кадастровая стоимость земельного участка (рублей);</w:t>
            </w:r>
          </w:p>
          <w:p w:rsidR="00FD3DF9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коэффициент, учитывающий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вид разрешенного использования земельного участка;</w:t>
            </w:r>
          </w:p>
          <w:p w:rsidR="0053142A" w:rsidRPr="003B6681" w:rsidRDefault="00FD3DF9" w:rsidP="00FD3DF9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коэффициент, учитывающий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категорию арендатора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3142A" w:rsidRPr="003B6681" w:rsidTr="00E32A92">
        <w:trPr>
          <w:trHeight w:val="1035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Цели и срок использования (эксплуатации)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Целью использования объекта Соглашения является решение следующих задач в области развития и модернизации объектов системы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водоснабжения</w:t>
            </w:r>
            <w:r w:rsidR="00D83A6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и водоотведения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эффективности, устойчивости и надежности (бесперебойности) функционирования системы </w:t>
            </w:r>
            <w:r w:rsidR="00D83A6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водоснабжения и водоотведения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</w:t>
            </w:r>
            <w:proofErr w:type="spell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сетей </w:t>
            </w:r>
            <w:r w:rsidR="00D83A6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водоснабжения и водоотведения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издержек при эксплуатации сетей </w:t>
            </w:r>
            <w:r w:rsidR="00D83A6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водоснабжения и водоотведения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- обеспечение инженерно-экологических требований;</w:t>
            </w:r>
          </w:p>
          <w:p w:rsidR="00ED78BD" w:rsidRDefault="00ED78BD" w:rsidP="00ED78BD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износа и аварийности сетей </w:t>
            </w:r>
            <w:r w:rsidR="00D83A6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водоснабжения и водоотведения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3B6681" w:rsidRDefault="00ED78BD" w:rsidP="00ED78BD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использования (эксплуатации) Концессионером объекта Соглашения и иного имущества и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  Концессионером   деятельности,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</w:t>
            </w: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 даты передачи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Концессионеру и по дату возврата имущества Концеденту.</w:t>
            </w:r>
          </w:p>
        </w:tc>
      </w:tr>
      <w:tr w:rsidR="0053142A" w:rsidRPr="003B6681" w:rsidTr="003B6681">
        <w:trPr>
          <w:trHeight w:val="159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концессионером обязательств по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соглашению, размеры предоставляемого обеспечения и срок,</w:t>
            </w:r>
            <w:r w:rsidR="00ED78BD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который оно предоставляется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ED78BD" w:rsidP="0096521F">
            <w:pPr>
              <w:pStyle w:val="a7"/>
              <w:ind w:firstLine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Обеспечение исполнения Концессионером обязательств по концессионному Соглашению осуществляется путем предоставления банковской гарантии в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размере не менее 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1 % предельного размера 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расходов на создание и (или) реконструкцию объекта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онцессионного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оглашения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на срок действия концессионного Соглашения.</w:t>
            </w:r>
            <w:r w:rsidR="0096521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Банковская гарантия </w:t>
            </w:r>
            <w:r w:rsidR="0053142A" w:rsidRPr="003B6681">
              <w:rPr>
                <w:rFonts w:ascii="Times New Roman" w:hAnsi="Times New Roman" w:cs="Times New Roman"/>
                <w:sz w:val="24"/>
                <w:szCs w:val="24"/>
              </w:rPr>
              <w:t>предоставляется ежегодно.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навоя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банковская гарантия должна быть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истечения срока действия предыдущей банковской гарантии.</w:t>
            </w:r>
          </w:p>
        </w:tc>
      </w:tr>
      <w:tr w:rsidR="0096521F" w:rsidRPr="002679AC" w:rsidTr="00E32A92">
        <w:trPr>
          <w:trHeight w:val="55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96521F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6521F" w:rsidRPr="002679AC" w:rsidRDefault="0096521F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концессионной платы, форму или формы, порядок и сроки ее внесения - в случае, если </w:t>
            </w:r>
            <w:r w:rsid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онцессионным соглашением предусматривается концессионная плата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E13FEC" w:rsidP="00D16B6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Концессионная плата по </w:t>
            </w:r>
            <w:r w:rsidR="00D16B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Концессионному с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оглашению не устанавливается и не взимается</w:t>
            </w:r>
            <w:r w:rsidR="00D83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3142A" w:rsidRPr="003B6681" w:rsidTr="00E32A92">
        <w:trPr>
          <w:trHeight w:val="557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возмещения расходов сторон в случае досрочного расторжения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указанных расходов осуществляется Концедентом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настоящего Соглашения в следующем порядке: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 в течение 30 (тридцати)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расходов Концессионера.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Концедента в течение 30 (тридцати) дней с момента получения требования, указанного в предыдущем абзаце настоящего Соглашения, направляет Концессионеру уведомление с указанием на одно из следующих решений: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полной компенсации расходов Концессионера;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частичной компенсации расходов Концессионера;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компенсации расходов Концессионера.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 частичной компенсации либо об отказе в компенсации расходов Концессионера должно быть мотивированным.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Разногласия Сторон по поводу компенсации расходов Концессионера решаются путем проведения совместных совещаний (переговоров) Концедента и Концессионера. При этом срок указанных переговоров не может превышать трех месяцев с момента расторжения настоящего Соглашения. В случае не достижения в ходе переговоров взаимного согласия Сторон по поводу возникших разногласий, спор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подлежит разрешению в судебном порядке.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осуществить возмещение расходов Концессионера в срок, не превышающий 36 (тридцать шесть) месяцев с момента расторжения настоящего Соглашения.</w:t>
            </w:r>
          </w:p>
          <w:p w:rsidR="0053142A" w:rsidRPr="003B6681" w:rsidRDefault="0053142A" w:rsidP="00965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E32A92">
        <w:trPr>
          <w:trHeight w:val="2852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концедента и (или) концессионера по подготовке территории, необходимой для создания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и (или) для осуществления деятельности, предусмотренной концессионным соглашением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8E612D" w:rsidRDefault="0034373C" w:rsidP="0034373C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оказывать Концессионеру содействие при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подготовке территории, необходимой для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реконструкции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концессионного Соглашения и осуществления деятельности, предусмотренной концессионным соглашением, в том числе организовать проведение работ по подготовке проектов документации по планировке территории и документов образования дополнительных земельных участков (при необходимости) для </w:t>
            </w:r>
            <w:r w:rsidRPr="008E61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и предоставления их Концессионеру в соответствии с законодательством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 </w:t>
            </w:r>
          </w:p>
          <w:p w:rsidR="0053142A" w:rsidRPr="003B6681" w:rsidRDefault="0053142A" w:rsidP="00343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E32A92">
        <w:trPr>
          <w:trHeight w:val="396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бъем валовой выручки, получаемой концессионером в рамках реализации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соглашения, в том числе на каждый год срока действия концессионного соглашения, если объектом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онцессионного соглашения является имущество, предусмотренное </w:t>
            </w:r>
            <w:hyperlink r:id="rId6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пунктами 10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 части 1 статьи 4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закона, 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</w:t>
            </w:r>
            <w:proofErr w:type="gramEnd"/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ценам (тарифам)</w:t>
            </w:r>
          </w:p>
          <w:p w:rsidR="0053142A" w:rsidRPr="003B6681" w:rsidRDefault="0053142A" w:rsidP="00EF64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961710" w:rsidP="003E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3E33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373C" w:rsidRPr="003B6681" w:rsidTr="00E32A92">
        <w:trPr>
          <w:trHeight w:val="986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3B6681" w:rsidRDefault="0034373C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Pr="002103A1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азмер и (или) порядок определения размера и условия финансового участия </w:t>
            </w:r>
            <w:proofErr w:type="spellStart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  <w:proofErr w:type="spellEnd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в случае, если концессионным соглашением предусматривается финансовое участие </w:t>
            </w:r>
            <w:proofErr w:type="spellStart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  <w:proofErr w:type="spellEnd"/>
          </w:p>
          <w:p w:rsidR="0034373C" w:rsidRPr="003B6681" w:rsidRDefault="0034373C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A81" w:rsidRPr="003B6681" w:rsidRDefault="00EA2A81" w:rsidP="00D16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участие Концедента </w:t>
            </w:r>
            <w:r w:rsidR="00D16B64">
              <w:rPr>
                <w:rFonts w:ascii="Times New Roman" w:hAnsi="Times New Roman" w:cs="Times New Roman"/>
                <w:sz w:val="24"/>
                <w:szCs w:val="24"/>
              </w:rPr>
              <w:t>по Концессионному соглашению не предусмотрено.</w:t>
            </w: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142A" w:rsidRPr="003B6681" w:rsidTr="00E32A92">
        <w:trPr>
          <w:trHeight w:val="986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долгосрочных параметров государственного регулирования цен 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(тарифов) в сфере теплоснабжения, определенных в соответствии с нормативными правовыми актами Российской Федерации в сфере теплоснабжения) в случае, если реализация концессионером производимых товаров, выполнение работ, оказание услуг осуществляются по регулируемым ценам</w:t>
            </w:r>
            <w:proofErr w:type="gramEnd"/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(тарифам) и (или) с учетом установленных надбавок к ценам (тарифам)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3E334E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 № 7</w:t>
            </w:r>
          </w:p>
        </w:tc>
      </w:tr>
      <w:tr w:rsidR="0053142A" w:rsidRPr="003B6681" w:rsidTr="00E32A92">
        <w:trPr>
          <w:trHeight w:val="171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адание и основные мероприятия, определенные в соответствии со </w:t>
            </w:r>
            <w:hyperlink r:id="rId9" w:history="1">
              <w:r w:rsidR="0034373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45</w:t>
              </w:r>
            </w:hyperlink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закона, с описанием основных характеристик таких мероприятий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53142A" w:rsidP="00B35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6</w:t>
            </w:r>
          </w:p>
        </w:tc>
      </w:tr>
      <w:tr w:rsidR="0053142A" w:rsidRPr="003B6681" w:rsidTr="00E32A92">
        <w:trPr>
          <w:trHeight w:val="2835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Предельный размер расходов на создание и (или) реконструкцию объекта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>онцессионного соглашения, которые предполагается осуществлять в течение всего срока действия концессионного соглашения концессионером без учета расходов, источником финансирования которых является плата за подключение (технологическое присоединение);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94551A" w:rsidRDefault="00AB4F4E" w:rsidP="00AB4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645 383 790</w:t>
            </w:r>
            <w:r w:rsidR="009455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4551A" w:rsidRPr="009455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сорок пять</w:t>
            </w:r>
            <w:r w:rsidR="0094551A">
              <w:rPr>
                <w:rFonts w:ascii="Times New Roman" w:hAnsi="Times New Roman" w:cs="Times New Roman"/>
                <w:sz w:val="24"/>
                <w:szCs w:val="24"/>
              </w:rPr>
              <w:t xml:space="preserve"> миллионов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триста восемьдесят три</w:t>
            </w:r>
            <w:r w:rsidR="0094551A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551A">
              <w:rPr>
                <w:rFonts w:ascii="Times New Roman" w:hAnsi="Times New Roman" w:cs="Times New Roman"/>
                <w:sz w:val="24"/>
                <w:szCs w:val="24"/>
              </w:rPr>
              <w:t xml:space="preserve"> триста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 девяносто</w:t>
            </w:r>
            <w:r w:rsidR="0094551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копеек)</w:t>
            </w:r>
          </w:p>
        </w:tc>
      </w:tr>
      <w:tr w:rsidR="0053142A" w:rsidRPr="003B6681" w:rsidTr="00E32A92">
        <w:trPr>
          <w:trHeight w:val="3885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A5898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>лановые значения показателей надежности, качества, энергетической эффективности объектов централизованных систем горячего водоснабжения, плановые значения показателей надежности и энергетической эффективности объектов теплоснабжения (далее - плановые значения показателей деятельности концессионера)</w:t>
            </w:r>
          </w:p>
          <w:p w:rsidR="0053142A" w:rsidRPr="003B6681" w:rsidRDefault="0053142A" w:rsidP="00262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961710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7</w:t>
            </w:r>
          </w:p>
        </w:tc>
      </w:tr>
      <w:tr w:rsidR="0053142A" w:rsidRPr="003B6681" w:rsidTr="003B6681">
        <w:trPr>
          <w:trHeight w:val="2676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      </w:r>
            <w:r w:rsidR="005A5898">
              <w:rPr>
                <w:rFonts w:ascii="Times New Roman" w:hAnsi="Times New Roman" w:cs="Times New Roman"/>
                <w:bCs/>
                <w:sz w:val="24"/>
                <w:szCs w:val="24"/>
              </w:rPr>
              <w:t>теплоснабжения и горячего водоснабжения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не возмещенных ему на момент окончания срока действия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онцессионного соглашения, в случае, если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надбавок к ценам (тарифам)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3465" w:rsidRDefault="0053142A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>Возмещение указанных расходов осуществляется Концедентом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настоящего Соглашения в следующем порядке: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 в течение 30 (тридцати)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расходов Концессионера.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Концедента в течение 30 (тридцати) дней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требования, указанного в предыдущем абзаце настоящего Соглашения, направляет Концессионеру уведомление с указанием на одно из следующих решений: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полной компенсации расходов Концессионера;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частичной компенсации расходов Концессионера;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компенсации расходов Концессионера.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 частичной компенсации либо об отказе в компенсации расходов Концессионера должно быть мотивированным.</w:t>
            </w:r>
          </w:p>
          <w:p w:rsidR="005C3465" w:rsidRDefault="005C3465" w:rsidP="005C3465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Разногласия Сторон по поводу компенсации расходов Концессионера решаются путем проведения совместных совещаний (переговоров) Концедента и Концессионера. При этом срок указанных переговоров не может превышать трех месяцев с момента расторжения настоящего Соглашения. В случае не достижения в ходе переговоров взаимного согласия Сторон по поводу возникших разногласий, спор подлежит разрешению в судебном порядке.</w:t>
            </w:r>
          </w:p>
          <w:p w:rsidR="0053142A" w:rsidRPr="003B6681" w:rsidRDefault="005C3465" w:rsidP="005C3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осуществить возмещение расходов Концессионера в срок, не превышающий 36 (тридцать шесть) месяцев с момента расторжения настоящего Соглашения.</w:t>
            </w:r>
          </w:p>
        </w:tc>
      </w:tr>
      <w:tr w:rsidR="0053142A" w:rsidRPr="003B6681" w:rsidTr="00262B37">
        <w:trPr>
          <w:trHeight w:val="699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2103A1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 указанное имущество, в том числе по выполнению кадастровых работ и осуществлению государственной регистрации права собственности </w:t>
            </w:r>
            <w:proofErr w:type="spellStart"/>
            <w:r w:rsidR="005A5898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имущество, а также государственной регистрации обременения данного права в соответствии с </w:t>
            </w:r>
            <w:hyperlink r:id="rId10" w:history="1">
              <w:r w:rsidR="005A58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15 статьи 3</w:t>
              </w:r>
            </w:hyperlink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Федерального закона в срок, равный одному году с даты вступления в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силу концессионного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2103A1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Бесхозяйные объекты в Концессионном соглашении отсутствуют.</w:t>
            </w:r>
          </w:p>
        </w:tc>
      </w:tr>
      <w:tr w:rsidR="0053142A" w:rsidRPr="003B6681" w:rsidTr="00E32A92">
        <w:trPr>
          <w:trHeight w:val="963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переноса сроков реализации инвестиционных обязательств концессионера, являющегося регулируемой организацией, осуществляющей деятельность в сфере тепло-, водоснабжения, в случае принятия Правительством Российской Федерации соответствующего решения, предусмотренного Федеральным </w:t>
            </w:r>
            <w:hyperlink r:id="rId11" w:history="1">
              <w:r w:rsidR="005A58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от 30 декабря 2012 года N 291-ФЗ "О внесении 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водоотведения", в связи с существенным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ухудшением экономической конъюнктуры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Сроки реализации инвестиционных обязательств Концессионера, предусмотренных настоящим Соглашением, могут быть перенесены в случае принятия Правительством Российской Федерации решения, предусмотренного Федеральным законом от 30.12.2012 №291-ФЗ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конъюнктуры.</w:t>
            </w:r>
            <w:proofErr w:type="gramEnd"/>
          </w:p>
        </w:tc>
      </w:tr>
      <w:tr w:rsidR="00FA2A8D" w:rsidRPr="003B6681" w:rsidTr="00E32A92">
        <w:trPr>
          <w:trHeight w:val="963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Pr="003B6681" w:rsidRDefault="00FA2A8D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обязанности, осуществляемые Красноярским краем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несет следующие обязанности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концессионному соглашению: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концессионным соглашением, 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субъекта Российской Федерации, участвующего в концессионном соглашении, орган местного самоуправления поселения, муниципального округа или городского округа;</w:t>
            </w:r>
            <w:proofErr w:type="gramEnd"/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 утверждение инвестиционных программ концессионера в соответствии с установленными концессионным соглашением заданием и мероприятиями, плановыми показателями деятельности концессионера, предельным уровнем расходов на создание и (или) реконструкцию объекта концессионного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субъекта Российской Федерации, участвующего в концессионном соглашении, орган местного самоуправления поселения, муниципального округа или 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возмещение недополученных доходов, экономически обоснованных расходов концессионера, подлежащих возмещению за счет средств бюджета субъекта Российской Федерации, участвующего в концессионном соглашении в соответствии с нормативными правовыми актами Российской Федерации, в том числе в случае принятия органом исполнительной власти субъекта Российской Федерации, участвующего в концессионном соглашении, в области государственного регулирования тарифов решения об изменении долгосрочных тарифов и (или) необходимой валовой выручки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концессионера,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теплоснабжения, водоснабжения, водоотведения, и (или) долгосрочных параметров регулирования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концессионера, установленных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и (или) решения об установлении тарифов концессионера на основе долгосрочных параметров регулирования деятельности концессионера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в соответствии с настоящим Федеральным законом.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настоящим Федеральным законом;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иные обязанности, устанавливаемые нормативными правовыми актами Красноярского края.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Красноярского края: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предоставление концессионеру государственных гарантий Красноярского края;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иные права, устанавливаемые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правовыми Красноярского края.</w:t>
            </w:r>
          </w:p>
          <w:p w:rsidR="00FA2A8D" w:rsidRPr="003B6681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B64" w:rsidRPr="003B6681" w:rsidTr="00E32A92">
        <w:trPr>
          <w:trHeight w:val="963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B64" w:rsidRPr="003B6681" w:rsidRDefault="00D16B64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D16B64" w:rsidRDefault="00D16B64" w:rsidP="00D16B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концессионному соглашению,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не допускаются:</w:t>
            </w:r>
          </w:p>
          <w:p w:rsidR="00D16B64" w:rsidRDefault="00D16B64" w:rsidP="00D16B64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B64" w:rsidRDefault="00D16B64" w:rsidP="00272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передача концессионером прав владения и (или) пользования объектами, передаваемыми концессионеру по концессионному соглашению, в том числе передача таких объектов в субаренду;</w:t>
            </w:r>
          </w:p>
          <w:p w:rsidR="00D16B64" w:rsidRDefault="00D16B64" w:rsidP="00272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уступка права требования, перевод долга по концессионному соглашению в пользу иностранных физических и юридических лиц и иностранных структур без образования юридического лица, передача прав по концессионному соглашению в доверительное управление;</w:t>
            </w:r>
          </w:p>
          <w:p w:rsidR="00D16B64" w:rsidRDefault="00D16B64" w:rsidP="00272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передача объекта концессионного соглашения в собственность концессионера и (или) иных третьих лиц, в том числе в порядке реализации преимущественного права на выкуп имущества, переданного в соответствии с концессионным соглашением</w:t>
            </w:r>
            <w:r w:rsidR="00272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F78D2" w:rsidRPr="003B6681" w:rsidRDefault="004F78D2" w:rsidP="00045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78D2" w:rsidRPr="003B6681" w:rsidSect="00762B7B">
      <w:pgSz w:w="11906" w:h="16838"/>
      <w:pgMar w:top="568" w:right="1701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4D0"/>
    <w:rsid w:val="00023BE8"/>
    <w:rsid w:val="00045F66"/>
    <w:rsid w:val="000461BA"/>
    <w:rsid w:val="00093EDE"/>
    <w:rsid w:val="00094B6D"/>
    <w:rsid w:val="000E3457"/>
    <w:rsid w:val="000F10A7"/>
    <w:rsid w:val="000F2874"/>
    <w:rsid w:val="000F33C9"/>
    <w:rsid w:val="00114EB2"/>
    <w:rsid w:val="001528D8"/>
    <w:rsid w:val="00171E0B"/>
    <w:rsid w:val="001D3DDA"/>
    <w:rsid w:val="001D7C57"/>
    <w:rsid w:val="001E6A4E"/>
    <w:rsid w:val="001E6DDD"/>
    <w:rsid w:val="001F0E14"/>
    <w:rsid w:val="00207AFE"/>
    <w:rsid w:val="002103A1"/>
    <w:rsid w:val="002512B5"/>
    <w:rsid w:val="00255E2C"/>
    <w:rsid w:val="002624D0"/>
    <w:rsid w:val="00262B37"/>
    <w:rsid w:val="002679AC"/>
    <w:rsid w:val="00272F4A"/>
    <w:rsid w:val="002A3CD2"/>
    <w:rsid w:val="0032521F"/>
    <w:rsid w:val="003374F6"/>
    <w:rsid w:val="0034373C"/>
    <w:rsid w:val="00383ED7"/>
    <w:rsid w:val="003865B0"/>
    <w:rsid w:val="003B0640"/>
    <w:rsid w:val="003B6681"/>
    <w:rsid w:val="003C09A0"/>
    <w:rsid w:val="003D7CED"/>
    <w:rsid w:val="003E334E"/>
    <w:rsid w:val="00400D8A"/>
    <w:rsid w:val="00435F0F"/>
    <w:rsid w:val="00445416"/>
    <w:rsid w:val="00486B22"/>
    <w:rsid w:val="004A3E9B"/>
    <w:rsid w:val="004B0F62"/>
    <w:rsid w:val="004C178D"/>
    <w:rsid w:val="004E0D98"/>
    <w:rsid w:val="004E5C79"/>
    <w:rsid w:val="004F78D2"/>
    <w:rsid w:val="0051022B"/>
    <w:rsid w:val="0052278B"/>
    <w:rsid w:val="0053142A"/>
    <w:rsid w:val="0053210C"/>
    <w:rsid w:val="00542675"/>
    <w:rsid w:val="00544936"/>
    <w:rsid w:val="00565106"/>
    <w:rsid w:val="00577D56"/>
    <w:rsid w:val="00594C68"/>
    <w:rsid w:val="005A5898"/>
    <w:rsid w:val="005C0A01"/>
    <w:rsid w:val="005C3465"/>
    <w:rsid w:val="005E345C"/>
    <w:rsid w:val="005F1041"/>
    <w:rsid w:val="00616875"/>
    <w:rsid w:val="00631702"/>
    <w:rsid w:val="0063732E"/>
    <w:rsid w:val="006951BE"/>
    <w:rsid w:val="006D10C9"/>
    <w:rsid w:val="0070584B"/>
    <w:rsid w:val="00740B9F"/>
    <w:rsid w:val="00756D52"/>
    <w:rsid w:val="00761A34"/>
    <w:rsid w:val="00762B7B"/>
    <w:rsid w:val="00784BB2"/>
    <w:rsid w:val="007868EC"/>
    <w:rsid w:val="007A2788"/>
    <w:rsid w:val="007E4CB8"/>
    <w:rsid w:val="00827D7F"/>
    <w:rsid w:val="008707B8"/>
    <w:rsid w:val="00872DD1"/>
    <w:rsid w:val="00913D9D"/>
    <w:rsid w:val="00914CBC"/>
    <w:rsid w:val="0094551A"/>
    <w:rsid w:val="00952449"/>
    <w:rsid w:val="00961710"/>
    <w:rsid w:val="00965030"/>
    <w:rsid w:val="0096521F"/>
    <w:rsid w:val="00986D13"/>
    <w:rsid w:val="009A2CBC"/>
    <w:rsid w:val="00A0573E"/>
    <w:rsid w:val="00A27407"/>
    <w:rsid w:val="00A36E8C"/>
    <w:rsid w:val="00A441C6"/>
    <w:rsid w:val="00A52555"/>
    <w:rsid w:val="00A60168"/>
    <w:rsid w:val="00A6125D"/>
    <w:rsid w:val="00A8516B"/>
    <w:rsid w:val="00AB4F4E"/>
    <w:rsid w:val="00AB5854"/>
    <w:rsid w:val="00AE40B6"/>
    <w:rsid w:val="00B14D02"/>
    <w:rsid w:val="00B35DFB"/>
    <w:rsid w:val="00B40308"/>
    <w:rsid w:val="00B66EFF"/>
    <w:rsid w:val="00B752C2"/>
    <w:rsid w:val="00BB2554"/>
    <w:rsid w:val="00C274BE"/>
    <w:rsid w:val="00C81B4E"/>
    <w:rsid w:val="00C95A1A"/>
    <w:rsid w:val="00CC1F94"/>
    <w:rsid w:val="00CC3833"/>
    <w:rsid w:val="00CE6E1C"/>
    <w:rsid w:val="00D021A1"/>
    <w:rsid w:val="00D11C85"/>
    <w:rsid w:val="00D16B64"/>
    <w:rsid w:val="00D52A2D"/>
    <w:rsid w:val="00D73379"/>
    <w:rsid w:val="00D83A6E"/>
    <w:rsid w:val="00DA40C6"/>
    <w:rsid w:val="00DA48AA"/>
    <w:rsid w:val="00DA571E"/>
    <w:rsid w:val="00DD5744"/>
    <w:rsid w:val="00DE1D92"/>
    <w:rsid w:val="00DF7CBF"/>
    <w:rsid w:val="00E13FEC"/>
    <w:rsid w:val="00E32A92"/>
    <w:rsid w:val="00E34926"/>
    <w:rsid w:val="00E819FA"/>
    <w:rsid w:val="00E8784C"/>
    <w:rsid w:val="00E90B81"/>
    <w:rsid w:val="00EA2A81"/>
    <w:rsid w:val="00ED1F5E"/>
    <w:rsid w:val="00ED78BD"/>
    <w:rsid w:val="00EE6425"/>
    <w:rsid w:val="00EF24D2"/>
    <w:rsid w:val="00EF64BB"/>
    <w:rsid w:val="00F509D4"/>
    <w:rsid w:val="00F71F13"/>
    <w:rsid w:val="00F861B1"/>
    <w:rsid w:val="00F8756D"/>
    <w:rsid w:val="00F92F15"/>
    <w:rsid w:val="00F936EF"/>
    <w:rsid w:val="00FA2A8D"/>
    <w:rsid w:val="00FC5B34"/>
    <w:rsid w:val="00FD387B"/>
    <w:rsid w:val="00FD3DF9"/>
    <w:rsid w:val="00FE675E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FD3DF9"/>
  </w:style>
  <w:style w:type="paragraph" w:styleId="a7">
    <w:name w:val="No Spacing"/>
    <w:uiPriority w:val="1"/>
    <w:qFormat/>
    <w:rsid w:val="00FD3DF9"/>
    <w:pPr>
      <w:spacing w:after="0" w:line="240" w:lineRule="auto"/>
    </w:pPr>
    <w:rPr>
      <w:rFonts w:ascii="Cambria" w:eastAsia="Cambria" w:hAnsi="Cambria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7A0B8EDED541CA6C37322F73CAFDDA4658E1D8D3330449F1602B3F567361F3E9D5F506854E053E98FF60CA3CF391FCBA0640FE2a7t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487A0B8EDED541CA6C37322F73CAFDDA4658E1D8D3330449F1602B3F567361F3E9D5F506F5DE053E98FF60CA3CF391FCBA0640FE2a7t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87A0B8EDED541CA6C37322F73CAFDDA4658E1D8D3330449F1602B3F567361F3E9D5F506F5CE053E98FF60CA3CF391FCBA0640FE2a7t0N" TargetMode="External"/><Relationship Id="rId11" Type="http://schemas.openxmlformats.org/officeDocument/2006/relationships/hyperlink" Target="consultantplus://offline/ref=2FC0B249714ADA3FC3CE5E7D0FE2729F3FC6DDA30D3EBB3B0C0DB9EC90B2086A8DBAEAD46406F88B4B3B992E42w051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EDEE9A0DB65A5CCAE2F48FE0615DBA9F2613ECBD959D32E56583C74093178133A31505D71EFF04C7329BC693E008B63FE1E31dC5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4EBE990C21BB02002E99CB5A2989238F77E442E14020F590C71B3E685A8157033325957706C268B5409DF130454A9EA682892536Q70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33BD2-D610-4652-B962-F44D7CCD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 Анна Александровна</cp:lastModifiedBy>
  <cp:revision>11</cp:revision>
  <cp:lastPrinted>2024-05-27T03:44:00Z</cp:lastPrinted>
  <dcterms:created xsi:type="dcterms:W3CDTF">2023-10-18T14:04:00Z</dcterms:created>
  <dcterms:modified xsi:type="dcterms:W3CDTF">2024-05-27T03:44:00Z</dcterms:modified>
</cp:coreProperties>
</file>