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34" w:rsidRPr="00896634" w:rsidRDefault="00896634" w:rsidP="00896634">
      <w:pPr>
        <w:jc w:val="center"/>
        <w:rPr>
          <w:bCs/>
          <w:sz w:val="32"/>
          <w:szCs w:val="32"/>
        </w:rPr>
      </w:pPr>
      <w:bookmarkStart w:id="0" w:name="_GoBack"/>
      <w:r w:rsidRPr="00896634">
        <w:rPr>
          <w:bCs/>
          <w:sz w:val="32"/>
          <w:szCs w:val="32"/>
        </w:rPr>
        <w:t>АДМИНИСТРАЦИЯ ЕНИСЕЙСКОГО РАЙОНА</w:t>
      </w:r>
    </w:p>
    <w:p w:rsidR="00896634" w:rsidRPr="00896634" w:rsidRDefault="00896634" w:rsidP="00896634">
      <w:pPr>
        <w:jc w:val="center"/>
        <w:rPr>
          <w:bCs/>
          <w:sz w:val="28"/>
          <w:szCs w:val="28"/>
        </w:rPr>
      </w:pPr>
      <w:r w:rsidRPr="00896634">
        <w:rPr>
          <w:bCs/>
          <w:sz w:val="28"/>
          <w:szCs w:val="28"/>
        </w:rPr>
        <w:t>Красноярского края</w:t>
      </w:r>
    </w:p>
    <w:p w:rsidR="00896634" w:rsidRPr="00896634" w:rsidRDefault="00896634" w:rsidP="00896634">
      <w:pPr>
        <w:jc w:val="center"/>
        <w:rPr>
          <w:sz w:val="36"/>
          <w:szCs w:val="36"/>
        </w:rPr>
      </w:pPr>
      <w:r w:rsidRPr="00896634">
        <w:rPr>
          <w:bCs/>
          <w:sz w:val="36"/>
          <w:szCs w:val="36"/>
        </w:rPr>
        <w:t>ПОСТАНОВЛЕНИЕ</w:t>
      </w:r>
    </w:p>
    <w:p w:rsidR="00896634" w:rsidRPr="00896634" w:rsidRDefault="00896634" w:rsidP="00896634">
      <w:pPr>
        <w:jc w:val="center"/>
        <w:rPr>
          <w:sz w:val="36"/>
          <w:szCs w:val="36"/>
        </w:rPr>
      </w:pPr>
    </w:p>
    <w:p w:rsidR="00896634" w:rsidRPr="00896634" w:rsidRDefault="00896634" w:rsidP="00896634">
      <w:pPr>
        <w:jc w:val="center"/>
        <w:rPr>
          <w:sz w:val="28"/>
          <w:szCs w:val="28"/>
        </w:rPr>
      </w:pPr>
    </w:p>
    <w:p w:rsidR="00896634" w:rsidRPr="00896634" w:rsidRDefault="00896634" w:rsidP="0089663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14</w:t>
      </w:r>
      <w:r w:rsidRPr="00896634">
        <w:rPr>
          <w:sz w:val="28"/>
          <w:szCs w:val="28"/>
        </w:rPr>
        <w:t>.07.2023                                   г. Енисейск                                          № 5</w:t>
      </w:r>
      <w:r>
        <w:rPr>
          <w:sz w:val="28"/>
          <w:szCs w:val="28"/>
        </w:rPr>
        <w:t>38</w:t>
      </w:r>
      <w:r w:rsidRPr="00896634">
        <w:rPr>
          <w:sz w:val="28"/>
          <w:szCs w:val="28"/>
        </w:rPr>
        <w:t>-п</w:t>
      </w:r>
    </w:p>
    <w:p w:rsidR="00BF5124" w:rsidRDefault="00BF5124" w:rsidP="00896634">
      <w:pPr>
        <w:jc w:val="center"/>
        <w:rPr>
          <w:sz w:val="28"/>
          <w:szCs w:val="28"/>
        </w:rPr>
      </w:pPr>
    </w:p>
    <w:bookmarkEnd w:id="0"/>
    <w:p w:rsidR="008D248D" w:rsidRPr="00DB13DE" w:rsidRDefault="008D248D" w:rsidP="009C5D19">
      <w:pPr>
        <w:jc w:val="both"/>
        <w:rPr>
          <w:sz w:val="28"/>
          <w:szCs w:val="28"/>
        </w:rPr>
      </w:pPr>
      <w:r w:rsidRPr="00DB13DE">
        <w:rPr>
          <w:sz w:val="28"/>
          <w:szCs w:val="28"/>
        </w:rPr>
        <w:t xml:space="preserve">О внесении изменений в </w:t>
      </w:r>
      <w:hyperlink r:id="rId5" w:history="1">
        <w:r w:rsidRPr="00DB13DE">
          <w:rPr>
            <w:sz w:val="28"/>
            <w:szCs w:val="28"/>
            <w:lang w:eastAsia="en-US"/>
          </w:rPr>
          <w:t>постановление</w:t>
        </w:r>
      </w:hyperlink>
      <w:r w:rsidRPr="00DB13DE">
        <w:rPr>
          <w:sz w:val="28"/>
          <w:szCs w:val="28"/>
          <w:lang w:eastAsia="en-US"/>
        </w:rPr>
        <w:t xml:space="preserve"> администрации Енисейского района Красноярского края от </w:t>
      </w:r>
      <w:r w:rsidRPr="00DB13DE">
        <w:rPr>
          <w:sz w:val="28"/>
          <w:szCs w:val="28"/>
        </w:rPr>
        <w:t xml:space="preserve">16.12.2016 № 764-п «Об утверждении правил определения нормативных затрат на обеспечение функций органов местного самоуправления Енисейского района Красноярского края (включая подведомственные указанным органам казенные учреждения)»  </w:t>
      </w:r>
    </w:p>
    <w:p w:rsidR="008D248D" w:rsidRPr="00DB13DE" w:rsidRDefault="008D248D" w:rsidP="008D248D">
      <w:pPr>
        <w:pStyle w:val="Default"/>
        <w:rPr>
          <w:color w:val="auto"/>
          <w:sz w:val="28"/>
          <w:szCs w:val="28"/>
        </w:rPr>
      </w:pPr>
      <w:r w:rsidRPr="00DB13DE">
        <w:rPr>
          <w:color w:val="auto"/>
          <w:sz w:val="28"/>
          <w:szCs w:val="28"/>
        </w:rPr>
        <w:t xml:space="preserve"> </w:t>
      </w:r>
    </w:p>
    <w:p w:rsidR="008D248D" w:rsidRPr="00DB13DE" w:rsidRDefault="008D248D" w:rsidP="00BF5124">
      <w:pPr>
        <w:ind w:firstLine="540"/>
        <w:jc w:val="both"/>
        <w:rPr>
          <w:sz w:val="28"/>
          <w:szCs w:val="28"/>
          <w:lang w:eastAsia="en-US"/>
        </w:rPr>
      </w:pPr>
      <w:proofErr w:type="gramStart"/>
      <w:r w:rsidRPr="00DB13DE">
        <w:rPr>
          <w:sz w:val="28"/>
          <w:szCs w:val="28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года № 1047 </w:t>
      </w:r>
      <w:r w:rsidR="00BF5124">
        <w:rPr>
          <w:sz w:val="28"/>
          <w:szCs w:val="28"/>
        </w:rPr>
        <w:t>«</w:t>
      </w:r>
      <w:r w:rsidRPr="00DB13DE">
        <w:rPr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</w:t>
      </w:r>
      <w:proofErr w:type="gramEnd"/>
      <w:r w:rsidRPr="00DB13DE">
        <w:rPr>
          <w:sz w:val="28"/>
          <w:szCs w:val="28"/>
        </w:rPr>
        <w:t xml:space="preserve"> </w:t>
      </w:r>
      <w:proofErr w:type="gramStart"/>
      <w:r w:rsidRPr="00DB13DE">
        <w:rPr>
          <w:sz w:val="28"/>
          <w:szCs w:val="28"/>
        </w:rPr>
        <w:t>соответствии</w:t>
      </w:r>
      <w:proofErr w:type="gramEnd"/>
      <w:r w:rsidRPr="00DB13DE">
        <w:rPr>
          <w:sz w:val="28"/>
          <w:szCs w:val="28"/>
        </w:rPr>
        <w:t xml:space="preserve">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</w:t>
      </w:r>
      <w:proofErr w:type="gramStart"/>
      <w:r w:rsidRPr="00DB13DE">
        <w:rPr>
          <w:sz w:val="28"/>
          <w:szCs w:val="28"/>
        </w:rPr>
        <w:t>подведомственные казенные учреждения, а также Государственной корпорации по атомной энергии "</w:t>
      </w:r>
      <w:proofErr w:type="spellStart"/>
      <w:r w:rsidRPr="00DB13DE">
        <w:rPr>
          <w:sz w:val="28"/>
          <w:szCs w:val="28"/>
        </w:rPr>
        <w:t>Росатом</w:t>
      </w:r>
      <w:proofErr w:type="spellEnd"/>
      <w:r w:rsidRPr="00DB13DE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DB13DE">
        <w:rPr>
          <w:sz w:val="28"/>
          <w:szCs w:val="28"/>
        </w:rPr>
        <w:t>Роскосмос</w:t>
      </w:r>
      <w:proofErr w:type="spellEnd"/>
      <w:r w:rsidRPr="00DB13DE">
        <w:rPr>
          <w:sz w:val="28"/>
          <w:szCs w:val="28"/>
        </w:rPr>
        <w:t>" и подведомственных им организаций</w:t>
      </w:r>
      <w:r w:rsidR="00BF5124">
        <w:rPr>
          <w:sz w:val="28"/>
          <w:szCs w:val="28"/>
        </w:rPr>
        <w:t>»</w:t>
      </w:r>
      <w:r w:rsidRPr="00DB13DE">
        <w:rPr>
          <w:sz w:val="28"/>
          <w:szCs w:val="28"/>
        </w:rPr>
        <w:t xml:space="preserve">, </w:t>
      </w:r>
      <w:r w:rsidR="00BF5124" w:rsidRPr="00942CAE">
        <w:rPr>
          <w:sz w:val="28"/>
          <w:szCs w:val="28"/>
        </w:rPr>
        <w:t>постановлением Правительства Российской Федерации от 20.10.</w:t>
      </w:r>
      <w:r w:rsidR="00035065" w:rsidRPr="00942CAE">
        <w:rPr>
          <w:sz w:val="28"/>
          <w:szCs w:val="28"/>
        </w:rPr>
        <w:t>2014 № 1084</w:t>
      </w:r>
      <w:r w:rsidR="00BF5124" w:rsidRPr="00942CAE">
        <w:rPr>
          <w:sz w:val="28"/>
          <w:szCs w:val="28"/>
        </w:rPr>
        <w:t xml:space="preserve">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</w:t>
      </w:r>
      <w:proofErr w:type="gramEnd"/>
      <w:r w:rsidR="00BF5124" w:rsidRPr="00942CAE">
        <w:rPr>
          <w:sz w:val="28"/>
          <w:szCs w:val="28"/>
        </w:rPr>
        <w:t xml:space="preserve"> </w:t>
      </w:r>
      <w:proofErr w:type="gramStart"/>
      <w:r w:rsidR="00BF5124" w:rsidRPr="00942CAE">
        <w:rPr>
          <w:sz w:val="28"/>
          <w:szCs w:val="28"/>
        </w:rPr>
        <w:t>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BF5124" w:rsidRPr="00942CAE">
        <w:rPr>
          <w:sz w:val="28"/>
          <w:szCs w:val="28"/>
        </w:rPr>
        <w:t>Росатом</w:t>
      </w:r>
      <w:proofErr w:type="spellEnd"/>
      <w:r w:rsidR="00BF5124" w:rsidRPr="00942CAE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="00BF5124" w:rsidRPr="00942CAE">
        <w:rPr>
          <w:sz w:val="28"/>
          <w:szCs w:val="28"/>
        </w:rPr>
        <w:t>Роскосмос</w:t>
      </w:r>
      <w:proofErr w:type="spellEnd"/>
      <w:r w:rsidR="00BF5124" w:rsidRPr="00942CAE">
        <w:rPr>
          <w:sz w:val="28"/>
          <w:szCs w:val="28"/>
        </w:rPr>
        <w:t>" и подведомственных им организаций» (вместе с «Правилами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</w:t>
      </w:r>
      <w:proofErr w:type="gramEnd"/>
      <w:r w:rsidR="00BF5124" w:rsidRPr="00942CAE">
        <w:rPr>
          <w:sz w:val="28"/>
          <w:szCs w:val="28"/>
        </w:rPr>
        <w:t>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BF5124" w:rsidRPr="00942CAE">
        <w:rPr>
          <w:sz w:val="28"/>
          <w:szCs w:val="28"/>
        </w:rPr>
        <w:t>Росатом</w:t>
      </w:r>
      <w:proofErr w:type="spellEnd"/>
      <w:r w:rsidR="00BF5124" w:rsidRPr="00942CAE">
        <w:rPr>
          <w:sz w:val="28"/>
          <w:szCs w:val="28"/>
        </w:rPr>
        <w:t xml:space="preserve">", Государственной корпорации по </w:t>
      </w:r>
      <w:r w:rsidR="00BF5124" w:rsidRPr="00942CAE">
        <w:rPr>
          <w:sz w:val="28"/>
          <w:szCs w:val="28"/>
        </w:rPr>
        <w:lastRenderedPageBreak/>
        <w:t>космической деятельности "</w:t>
      </w:r>
      <w:proofErr w:type="spellStart"/>
      <w:r w:rsidR="00BF5124" w:rsidRPr="00942CAE">
        <w:rPr>
          <w:sz w:val="28"/>
          <w:szCs w:val="28"/>
        </w:rPr>
        <w:t>Роскосмос</w:t>
      </w:r>
      <w:proofErr w:type="spellEnd"/>
      <w:r w:rsidR="00BF5124" w:rsidRPr="00942CAE">
        <w:rPr>
          <w:sz w:val="28"/>
          <w:szCs w:val="28"/>
        </w:rPr>
        <w:t>" и подведомственных им организаций»),</w:t>
      </w:r>
      <w:r w:rsidR="00BF5124">
        <w:rPr>
          <w:sz w:val="28"/>
          <w:szCs w:val="28"/>
          <w:lang w:eastAsia="en-US"/>
        </w:rPr>
        <w:t xml:space="preserve"> </w:t>
      </w:r>
      <w:r w:rsidRPr="00DB13DE">
        <w:rPr>
          <w:sz w:val="28"/>
          <w:szCs w:val="28"/>
          <w:lang w:eastAsia="en-US"/>
        </w:rPr>
        <w:t>статьями 16, 29 Устава Енисейского района Красноярского края, ПОСТАНОВЛЯЮ:</w:t>
      </w:r>
    </w:p>
    <w:p w:rsidR="008D248D" w:rsidRPr="00DB13DE" w:rsidRDefault="008D248D" w:rsidP="008D248D">
      <w:pPr>
        <w:ind w:firstLine="540"/>
        <w:jc w:val="both"/>
        <w:rPr>
          <w:sz w:val="28"/>
          <w:szCs w:val="28"/>
          <w:lang w:eastAsia="en-US"/>
        </w:rPr>
      </w:pPr>
      <w:r w:rsidRPr="00DB13DE">
        <w:rPr>
          <w:sz w:val="28"/>
          <w:szCs w:val="28"/>
          <w:lang w:eastAsia="en-US"/>
        </w:rPr>
        <w:t xml:space="preserve">1. Внести в </w:t>
      </w:r>
      <w:hyperlink r:id="rId6" w:history="1">
        <w:r w:rsidRPr="00DB13DE">
          <w:rPr>
            <w:sz w:val="28"/>
            <w:szCs w:val="28"/>
            <w:lang w:eastAsia="en-US"/>
          </w:rPr>
          <w:t>постановление</w:t>
        </w:r>
      </w:hyperlink>
      <w:r w:rsidRPr="00DB13DE">
        <w:rPr>
          <w:sz w:val="28"/>
          <w:szCs w:val="28"/>
          <w:lang w:eastAsia="en-US"/>
        </w:rPr>
        <w:t xml:space="preserve"> администрации Енисейского района </w:t>
      </w:r>
      <w:r w:rsidR="0095509F" w:rsidRPr="00DB13DE">
        <w:rPr>
          <w:sz w:val="28"/>
          <w:szCs w:val="28"/>
          <w:lang w:eastAsia="en-US"/>
        </w:rPr>
        <w:t xml:space="preserve">Красноярского </w:t>
      </w:r>
      <w:r w:rsidRPr="00DB13DE">
        <w:rPr>
          <w:sz w:val="28"/>
          <w:szCs w:val="28"/>
          <w:lang w:eastAsia="en-US"/>
        </w:rPr>
        <w:t xml:space="preserve">края от </w:t>
      </w:r>
      <w:r w:rsidRPr="00DB13DE">
        <w:rPr>
          <w:sz w:val="28"/>
          <w:szCs w:val="28"/>
        </w:rPr>
        <w:t>16.12.2016 № 764-п «Об утверждении правил определения нормативных затрат на обеспечение функций органов местного самоуправления Енисейского района Красноярского края (включая подведомственные указанным органам казенные учреждения)»</w:t>
      </w:r>
      <w:r w:rsidR="00ED33E3">
        <w:rPr>
          <w:sz w:val="28"/>
          <w:szCs w:val="28"/>
        </w:rPr>
        <w:t xml:space="preserve"> (далее - Правила)</w:t>
      </w:r>
      <w:r w:rsidRPr="00DB13DE">
        <w:rPr>
          <w:sz w:val="28"/>
          <w:szCs w:val="28"/>
        </w:rPr>
        <w:t xml:space="preserve"> </w:t>
      </w:r>
      <w:r w:rsidRPr="00DB13DE">
        <w:rPr>
          <w:sz w:val="28"/>
          <w:szCs w:val="28"/>
          <w:lang w:eastAsia="en-US"/>
        </w:rPr>
        <w:t>следующие изменения:</w:t>
      </w:r>
    </w:p>
    <w:p w:rsidR="00B1645B" w:rsidRPr="00942CAE" w:rsidRDefault="003F4328" w:rsidP="008D248D">
      <w:pPr>
        <w:ind w:firstLine="540"/>
        <w:jc w:val="both"/>
        <w:rPr>
          <w:sz w:val="28"/>
          <w:szCs w:val="28"/>
          <w:lang w:eastAsia="en-US"/>
        </w:rPr>
      </w:pPr>
      <w:r w:rsidRPr="0067760C">
        <w:rPr>
          <w:sz w:val="28"/>
          <w:szCs w:val="28"/>
          <w:lang w:eastAsia="en-US"/>
        </w:rPr>
        <w:t xml:space="preserve">1.1. </w:t>
      </w:r>
      <w:r w:rsidR="00B1645B" w:rsidRPr="00942CAE">
        <w:rPr>
          <w:sz w:val="28"/>
          <w:szCs w:val="28"/>
          <w:lang w:eastAsia="en-US"/>
        </w:rPr>
        <w:t>В методике определения нормативных затрат на обеспечение функций органов местного самоуправления Енисейского района Красноярского края, включая подведомственные указанным органам казенные учреждения (далее – Методика):</w:t>
      </w:r>
    </w:p>
    <w:p w:rsidR="00B1645B" w:rsidRPr="00B1645B" w:rsidRDefault="00B1645B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>1.</w:t>
      </w:r>
      <w:r w:rsidR="00BB621C">
        <w:rPr>
          <w:rFonts w:eastAsiaTheme="minorHAnsi"/>
          <w:kern w:val="0"/>
          <w:sz w:val="28"/>
          <w:szCs w:val="28"/>
          <w:lang w:eastAsia="en-US" w:bidi="ar-SA"/>
        </w:rPr>
        <w:t>1</w:t>
      </w:r>
      <w:r>
        <w:rPr>
          <w:rFonts w:eastAsiaTheme="minorHAnsi"/>
          <w:kern w:val="0"/>
          <w:sz w:val="28"/>
          <w:szCs w:val="28"/>
          <w:lang w:eastAsia="en-US" w:bidi="ar-SA"/>
        </w:rPr>
        <w:t>.1.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hyperlink r:id="rId7" w:history="1">
        <w:r w:rsidR="00BB621C">
          <w:rPr>
            <w:rFonts w:eastAsiaTheme="minorHAnsi"/>
            <w:kern w:val="0"/>
            <w:sz w:val="28"/>
            <w:szCs w:val="28"/>
            <w:lang w:eastAsia="en-US" w:bidi="ar-SA"/>
          </w:rPr>
          <w:t>приложение</w:t>
        </w:r>
        <w:r w:rsidRPr="00B1645B"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 </w:t>
        </w:r>
        <w:r w:rsidR="009C5D19">
          <w:rPr>
            <w:rFonts w:eastAsiaTheme="minorHAnsi"/>
            <w:kern w:val="0"/>
            <w:sz w:val="28"/>
            <w:szCs w:val="28"/>
            <w:lang w:eastAsia="en-US" w:bidi="ar-SA"/>
          </w:rPr>
          <w:t>№</w:t>
        </w:r>
        <w:r w:rsidRPr="00B1645B"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 1</w:t>
        </w:r>
      </w:hyperlink>
      <w:r w:rsidR="00BB621C">
        <w:rPr>
          <w:rFonts w:eastAsiaTheme="minorHAnsi"/>
          <w:kern w:val="0"/>
          <w:sz w:val="28"/>
          <w:szCs w:val="28"/>
          <w:lang w:eastAsia="en-US" w:bidi="ar-SA"/>
        </w:rPr>
        <w:t>(2)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к </w:t>
      </w:r>
      <w:r w:rsidR="009F0463">
        <w:rPr>
          <w:rFonts w:eastAsiaTheme="minorHAnsi"/>
          <w:kern w:val="0"/>
          <w:sz w:val="28"/>
          <w:szCs w:val="28"/>
          <w:lang w:eastAsia="en-US" w:bidi="ar-SA"/>
        </w:rPr>
        <w:t>Ме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>тодике</w:t>
      </w:r>
      <w:r w:rsidR="009F0463">
        <w:rPr>
          <w:rFonts w:eastAsiaTheme="minorHAnsi"/>
          <w:kern w:val="0"/>
          <w:sz w:val="28"/>
          <w:szCs w:val="28"/>
          <w:lang w:eastAsia="en-US" w:bidi="ar-SA"/>
        </w:rPr>
        <w:t xml:space="preserve"> изложить в новой редакции согласно приложению № 1 к настоящему постановлению.</w:t>
      </w:r>
    </w:p>
    <w:p w:rsidR="00B1645B" w:rsidRPr="00B1645B" w:rsidRDefault="00B1645B" w:rsidP="00B1645B">
      <w:pPr>
        <w:widowControl/>
        <w:suppressAutoHyphens w:val="0"/>
        <w:ind w:firstLine="54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>1.</w:t>
      </w:r>
      <w:r w:rsidR="009F0463">
        <w:rPr>
          <w:rFonts w:eastAsiaTheme="minorHAnsi"/>
          <w:kern w:val="0"/>
          <w:sz w:val="28"/>
          <w:szCs w:val="28"/>
          <w:lang w:eastAsia="en-US" w:bidi="ar-SA"/>
        </w:rPr>
        <w:t>1</w:t>
      </w:r>
      <w:r>
        <w:rPr>
          <w:rFonts w:eastAsiaTheme="minorHAnsi"/>
          <w:kern w:val="0"/>
          <w:sz w:val="28"/>
          <w:szCs w:val="28"/>
          <w:lang w:eastAsia="en-US" w:bidi="ar-SA"/>
        </w:rPr>
        <w:t>.2.</w:t>
      </w:r>
      <w:r w:rsidR="009F0463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hyperlink r:id="rId8" w:history="1">
        <w:r w:rsidR="009F0463">
          <w:rPr>
            <w:rFonts w:eastAsiaTheme="minorHAnsi"/>
            <w:kern w:val="0"/>
            <w:sz w:val="28"/>
            <w:szCs w:val="28"/>
            <w:lang w:eastAsia="en-US" w:bidi="ar-SA"/>
          </w:rPr>
          <w:t>приложение</w:t>
        </w:r>
        <w:r w:rsidRPr="00B1645B"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 </w:t>
        </w:r>
        <w:r w:rsidR="009C5D19">
          <w:rPr>
            <w:rFonts w:eastAsiaTheme="minorHAnsi"/>
            <w:kern w:val="0"/>
            <w:sz w:val="28"/>
            <w:szCs w:val="28"/>
            <w:lang w:eastAsia="en-US" w:bidi="ar-SA"/>
          </w:rPr>
          <w:t>№</w:t>
        </w:r>
        <w:r w:rsidRPr="00B1645B">
          <w:rPr>
            <w:rFonts w:eastAsiaTheme="minorHAnsi"/>
            <w:kern w:val="0"/>
            <w:sz w:val="28"/>
            <w:szCs w:val="28"/>
            <w:lang w:eastAsia="en-US" w:bidi="ar-SA"/>
          </w:rPr>
          <w:t xml:space="preserve"> </w:t>
        </w:r>
        <w:r w:rsidR="009F0463">
          <w:rPr>
            <w:rFonts w:eastAsiaTheme="minorHAnsi"/>
            <w:kern w:val="0"/>
            <w:sz w:val="28"/>
            <w:szCs w:val="28"/>
            <w:lang w:eastAsia="en-US" w:bidi="ar-SA"/>
          </w:rPr>
          <w:t>2</w:t>
        </w:r>
      </w:hyperlink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 к </w:t>
      </w:r>
      <w:r w:rsidR="009F0463">
        <w:rPr>
          <w:rFonts w:eastAsiaTheme="minorHAnsi"/>
          <w:kern w:val="0"/>
          <w:sz w:val="28"/>
          <w:szCs w:val="28"/>
          <w:lang w:eastAsia="en-US" w:bidi="ar-SA"/>
        </w:rPr>
        <w:t>М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>етодике</w:t>
      </w:r>
      <w:r w:rsidR="009F0463">
        <w:rPr>
          <w:rFonts w:eastAsiaTheme="minorHAnsi"/>
          <w:kern w:val="0"/>
          <w:sz w:val="28"/>
          <w:szCs w:val="28"/>
          <w:lang w:eastAsia="en-US" w:bidi="ar-SA"/>
        </w:rPr>
        <w:t xml:space="preserve"> изложить в новой редакции согласно приложению № 2 к настоящему постановлению.</w:t>
      </w:r>
    </w:p>
    <w:p w:rsidR="008D248D" w:rsidRPr="00DB13DE" w:rsidRDefault="008D248D" w:rsidP="008D248D">
      <w:pPr>
        <w:ind w:firstLine="540"/>
        <w:jc w:val="both"/>
        <w:rPr>
          <w:sz w:val="28"/>
          <w:szCs w:val="28"/>
          <w:lang w:eastAsia="en-US"/>
        </w:rPr>
      </w:pPr>
      <w:r w:rsidRPr="00F2647E">
        <w:rPr>
          <w:sz w:val="28"/>
          <w:szCs w:val="28"/>
          <w:lang w:eastAsia="en-US"/>
        </w:rPr>
        <w:t>2. Контроль за</w:t>
      </w:r>
      <w:r w:rsidRPr="00DB13DE">
        <w:rPr>
          <w:sz w:val="28"/>
          <w:szCs w:val="28"/>
          <w:lang w:eastAsia="en-US"/>
        </w:rPr>
        <w:t xml:space="preserve"> исполнением настоящего постановления возложить на заместителя </w:t>
      </w:r>
      <w:r w:rsidR="00120DE1">
        <w:rPr>
          <w:sz w:val="28"/>
          <w:szCs w:val="28"/>
          <w:lang w:eastAsia="en-US"/>
        </w:rPr>
        <w:t>Г</w:t>
      </w:r>
      <w:r w:rsidRPr="00DB13DE">
        <w:rPr>
          <w:sz w:val="28"/>
          <w:szCs w:val="28"/>
          <w:lang w:eastAsia="en-US"/>
        </w:rPr>
        <w:t xml:space="preserve">лавы района по организационной работе и развитию села </w:t>
      </w:r>
      <w:proofErr w:type="spellStart"/>
      <w:r w:rsidRPr="00DB13DE">
        <w:rPr>
          <w:sz w:val="28"/>
          <w:szCs w:val="28"/>
          <w:lang w:eastAsia="en-US"/>
        </w:rPr>
        <w:t>Капустинскую</w:t>
      </w:r>
      <w:proofErr w:type="spellEnd"/>
      <w:r w:rsidRPr="00DB13DE">
        <w:rPr>
          <w:sz w:val="28"/>
          <w:szCs w:val="28"/>
          <w:lang w:eastAsia="en-US"/>
        </w:rPr>
        <w:t xml:space="preserve"> Н.А.</w:t>
      </w:r>
    </w:p>
    <w:p w:rsidR="008D248D" w:rsidRPr="00DB13DE" w:rsidRDefault="008D248D" w:rsidP="008D248D">
      <w:pPr>
        <w:ind w:firstLine="540"/>
        <w:jc w:val="both"/>
        <w:rPr>
          <w:color w:val="000000"/>
          <w:sz w:val="28"/>
          <w:szCs w:val="28"/>
        </w:rPr>
      </w:pPr>
      <w:r w:rsidRPr="00DB13DE">
        <w:rPr>
          <w:sz w:val="28"/>
          <w:szCs w:val="28"/>
        </w:rPr>
        <w:t xml:space="preserve">3. </w:t>
      </w:r>
      <w:r w:rsidRPr="00DB13DE">
        <w:rPr>
          <w:color w:val="000000"/>
          <w:sz w:val="28"/>
          <w:szCs w:val="28"/>
        </w:rPr>
        <w:t xml:space="preserve">Постановление вступает в силу </w:t>
      </w:r>
      <w:r w:rsidR="00120DE1">
        <w:rPr>
          <w:color w:val="000000"/>
          <w:sz w:val="28"/>
          <w:szCs w:val="28"/>
        </w:rPr>
        <w:t>после</w:t>
      </w:r>
      <w:r w:rsidRPr="00DB13DE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 и на официальном сайте единой информационной системы в сфере закупок.</w:t>
      </w:r>
    </w:p>
    <w:p w:rsidR="008D248D" w:rsidRPr="00DB13DE" w:rsidRDefault="008D248D" w:rsidP="008D248D">
      <w:pPr>
        <w:jc w:val="both"/>
        <w:rPr>
          <w:color w:val="000000"/>
          <w:sz w:val="26"/>
          <w:szCs w:val="26"/>
        </w:rPr>
      </w:pPr>
    </w:p>
    <w:p w:rsidR="008D248D" w:rsidRPr="00DB13DE" w:rsidRDefault="008D248D" w:rsidP="008D248D">
      <w:pPr>
        <w:jc w:val="both"/>
        <w:rPr>
          <w:color w:val="000000"/>
          <w:sz w:val="26"/>
          <w:szCs w:val="26"/>
        </w:rPr>
      </w:pPr>
    </w:p>
    <w:p w:rsidR="00336037" w:rsidRPr="00DB13DE" w:rsidRDefault="00336037" w:rsidP="008D248D">
      <w:pPr>
        <w:jc w:val="both"/>
        <w:rPr>
          <w:rFonts w:ascii="Arial" w:hAnsi="Arial" w:cs="Arial"/>
          <w:sz w:val="28"/>
          <w:szCs w:val="28"/>
        </w:rPr>
      </w:pPr>
      <w:r w:rsidRPr="00DB13DE">
        <w:rPr>
          <w:color w:val="000000"/>
          <w:sz w:val="28"/>
          <w:szCs w:val="28"/>
        </w:rPr>
        <w:t>Глав</w:t>
      </w:r>
      <w:r w:rsidR="0067760C">
        <w:rPr>
          <w:color w:val="000000"/>
          <w:sz w:val="28"/>
          <w:szCs w:val="28"/>
        </w:rPr>
        <w:t>а</w:t>
      </w:r>
      <w:r w:rsidRPr="00DB13DE">
        <w:rPr>
          <w:color w:val="000000"/>
          <w:sz w:val="28"/>
          <w:szCs w:val="28"/>
        </w:rPr>
        <w:t xml:space="preserve"> района                                                                                   </w:t>
      </w:r>
      <w:r w:rsidR="00BF5124">
        <w:rPr>
          <w:color w:val="000000"/>
          <w:sz w:val="28"/>
          <w:szCs w:val="28"/>
        </w:rPr>
        <w:t xml:space="preserve"> </w:t>
      </w:r>
      <w:r w:rsidR="008D34B1">
        <w:rPr>
          <w:color w:val="000000"/>
          <w:sz w:val="28"/>
          <w:szCs w:val="28"/>
        </w:rPr>
        <w:t xml:space="preserve">    </w:t>
      </w:r>
      <w:r w:rsidRPr="00DB13DE">
        <w:rPr>
          <w:color w:val="000000"/>
          <w:sz w:val="28"/>
          <w:szCs w:val="28"/>
        </w:rPr>
        <w:t>А.</w:t>
      </w:r>
      <w:r w:rsidR="00BF5124">
        <w:rPr>
          <w:color w:val="000000"/>
          <w:sz w:val="28"/>
          <w:szCs w:val="28"/>
        </w:rPr>
        <w:t>В</w:t>
      </w:r>
      <w:r w:rsidRPr="00DB13DE">
        <w:rPr>
          <w:color w:val="000000"/>
          <w:sz w:val="28"/>
          <w:szCs w:val="28"/>
        </w:rPr>
        <w:t>.</w:t>
      </w:r>
      <w:r w:rsidR="009C5D19">
        <w:rPr>
          <w:color w:val="000000"/>
          <w:sz w:val="28"/>
          <w:szCs w:val="28"/>
        </w:rPr>
        <w:t xml:space="preserve"> </w:t>
      </w:r>
      <w:r w:rsidR="00BF5124">
        <w:rPr>
          <w:color w:val="000000"/>
          <w:sz w:val="28"/>
          <w:szCs w:val="28"/>
        </w:rPr>
        <w:t>Кулешов</w:t>
      </w:r>
    </w:p>
    <w:p w:rsidR="008D248D" w:rsidRPr="00DB13DE" w:rsidRDefault="008D248D">
      <w:pPr>
        <w:widowControl/>
        <w:suppressAutoHyphens w:val="0"/>
        <w:autoSpaceDE/>
        <w:autoSpaceDN/>
        <w:adjustRightInd/>
        <w:spacing w:after="200" w:line="276" w:lineRule="auto"/>
        <w:rPr>
          <w:sz w:val="28"/>
        </w:rPr>
      </w:pPr>
      <w:r w:rsidRPr="00DB13DE">
        <w:rPr>
          <w:sz w:val="28"/>
        </w:rPr>
        <w:br w:type="page"/>
      </w:r>
    </w:p>
    <w:p w:rsidR="00D31FEF" w:rsidRDefault="00D31FEF" w:rsidP="009C4190">
      <w:pPr>
        <w:jc w:val="right"/>
        <w:rPr>
          <w:sz w:val="28"/>
        </w:rPr>
        <w:sectPr w:rsidR="00D31FEF" w:rsidSect="009C5D1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C5D19" w:rsidRDefault="009C4190" w:rsidP="009C5D19">
      <w:pPr>
        <w:ind w:firstLine="8647"/>
        <w:rPr>
          <w:sz w:val="28"/>
        </w:rPr>
      </w:pPr>
      <w:r w:rsidRPr="00DB13DE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1 </w:t>
      </w:r>
      <w:r w:rsidRPr="00DB13DE">
        <w:rPr>
          <w:sz w:val="28"/>
        </w:rPr>
        <w:t xml:space="preserve">к постановлению </w:t>
      </w:r>
    </w:p>
    <w:p w:rsidR="009C5D19" w:rsidRDefault="009C4190" w:rsidP="009C5D19">
      <w:pPr>
        <w:ind w:firstLine="8647"/>
        <w:rPr>
          <w:sz w:val="28"/>
          <w:szCs w:val="28"/>
          <w:lang w:eastAsia="en-US"/>
        </w:rPr>
      </w:pPr>
      <w:r w:rsidRPr="00DB13DE">
        <w:rPr>
          <w:sz w:val="28"/>
          <w:szCs w:val="28"/>
          <w:lang w:eastAsia="en-US"/>
        </w:rPr>
        <w:t xml:space="preserve">администрации района </w:t>
      </w:r>
    </w:p>
    <w:p w:rsidR="009C4190" w:rsidRDefault="009C4190" w:rsidP="009C5D19">
      <w:pPr>
        <w:ind w:firstLine="8647"/>
        <w:rPr>
          <w:sz w:val="28"/>
          <w:szCs w:val="28"/>
        </w:rPr>
      </w:pPr>
      <w:r w:rsidRPr="00DB13DE">
        <w:rPr>
          <w:sz w:val="28"/>
          <w:szCs w:val="28"/>
          <w:lang w:eastAsia="en-US"/>
        </w:rPr>
        <w:t xml:space="preserve">от </w:t>
      </w:r>
      <w:r w:rsidR="009C5D19">
        <w:rPr>
          <w:sz w:val="28"/>
          <w:szCs w:val="28"/>
          <w:lang w:eastAsia="en-US"/>
        </w:rPr>
        <w:t>______</w:t>
      </w:r>
      <w:r w:rsidRPr="00DB13DE">
        <w:rPr>
          <w:sz w:val="28"/>
          <w:szCs w:val="28"/>
        </w:rPr>
        <w:t xml:space="preserve">_______ № </w:t>
      </w:r>
      <w:r w:rsidR="009C5D19">
        <w:rPr>
          <w:sz w:val="28"/>
          <w:szCs w:val="28"/>
        </w:rPr>
        <w:t>____</w:t>
      </w:r>
      <w:r w:rsidRPr="00DB13DE">
        <w:rPr>
          <w:sz w:val="28"/>
          <w:szCs w:val="28"/>
        </w:rPr>
        <w:t xml:space="preserve">_____ </w:t>
      </w:r>
    </w:p>
    <w:p w:rsidR="009C4190" w:rsidRDefault="009C4190" w:rsidP="009C4190">
      <w:pPr>
        <w:jc w:val="right"/>
        <w:rPr>
          <w:sz w:val="28"/>
          <w:szCs w:val="28"/>
        </w:rPr>
      </w:pPr>
    </w:p>
    <w:p w:rsidR="009F0463" w:rsidRDefault="009F0463" w:rsidP="009C4190">
      <w:pPr>
        <w:jc w:val="right"/>
      </w:pPr>
      <w:r>
        <w:rPr>
          <w:sz w:val="28"/>
        </w:rPr>
        <w:t>Приложение N 1(2)</w:t>
      </w:r>
    </w:p>
    <w:p w:rsidR="009F0463" w:rsidRDefault="009F0463" w:rsidP="009F0463">
      <w:pPr>
        <w:jc w:val="right"/>
      </w:pPr>
      <w:r>
        <w:rPr>
          <w:sz w:val="28"/>
        </w:rPr>
        <w:t xml:space="preserve">к методике определения нормативных </w:t>
      </w:r>
    </w:p>
    <w:p w:rsidR="009F0463" w:rsidRDefault="009F0463" w:rsidP="009F0463">
      <w:pPr>
        <w:jc w:val="right"/>
      </w:pPr>
      <w:r>
        <w:rPr>
          <w:sz w:val="28"/>
        </w:rPr>
        <w:t xml:space="preserve">затрат на обеспечение функций органов </w:t>
      </w:r>
    </w:p>
    <w:p w:rsidR="009F0463" w:rsidRDefault="009F0463" w:rsidP="009F0463">
      <w:pPr>
        <w:jc w:val="right"/>
      </w:pPr>
      <w:r>
        <w:rPr>
          <w:sz w:val="28"/>
        </w:rPr>
        <w:t xml:space="preserve">местного самоуправления Енисейского района </w:t>
      </w:r>
    </w:p>
    <w:p w:rsidR="009F0463" w:rsidRDefault="009F0463" w:rsidP="009F0463">
      <w:pPr>
        <w:jc w:val="right"/>
      </w:pPr>
      <w:r>
        <w:rPr>
          <w:sz w:val="28"/>
        </w:rPr>
        <w:t xml:space="preserve">Красноярского края, включая подведомственные </w:t>
      </w:r>
    </w:p>
    <w:p w:rsidR="009F0463" w:rsidRDefault="009F0463" w:rsidP="009F0463">
      <w:pPr>
        <w:jc w:val="right"/>
      </w:pPr>
      <w:r>
        <w:rPr>
          <w:sz w:val="28"/>
        </w:rPr>
        <w:t>указанным органам казенные учреждения</w:t>
      </w:r>
    </w:p>
    <w:p w:rsidR="009F0463" w:rsidRDefault="009F0463" w:rsidP="009F0463">
      <w:pPr>
        <w:jc w:val="both"/>
        <w:rPr>
          <w:rFonts w:ascii="Arial" w:hAnsi="Arial"/>
          <w:sz w:val="28"/>
        </w:rPr>
      </w:pPr>
    </w:p>
    <w:p w:rsidR="009F0463" w:rsidRDefault="009F0463" w:rsidP="009F0463">
      <w:pPr>
        <w:jc w:val="center"/>
      </w:pPr>
      <w:r>
        <w:rPr>
          <w:b/>
          <w:sz w:val="28"/>
        </w:rPr>
        <w:t>НОРМАТИВЫ</w:t>
      </w:r>
    </w:p>
    <w:p w:rsidR="009F0463" w:rsidRDefault="009F0463" w:rsidP="009F0463">
      <w:pPr>
        <w:jc w:val="center"/>
      </w:pPr>
      <w:r>
        <w:rPr>
          <w:b/>
          <w:sz w:val="28"/>
        </w:rPr>
        <w:t>ОБЕСПЕЧЕНИЯ ФУНКЦИЙ ОРГАНОВ МЕСТНОГО САМОУПРАВЛЕНИЯ ЕНИСЕЙСКОГО РАЙОНА КРАСНОЯРСКОГО КРАЯ, ВКЛЮЧАЯ ПОДВЕДОМСТВЕННЫЕ УКАЗАННЫМ ОРГАНАМ КАЗЕННЫЕ УЧРЕЖДЕНИЯ</w:t>
      </w:r>
      <w:r>
        <w:rPr>
          <w:rFonts w:ascii="Arial" w:hAnsi="Arial"/>
          <w:b/>
          <w:sz w:val="28"/>
        </w:rPr>
        <w:t xml:space="preserve">, </w:t>
      </w:r>
      <w:r>
        <w:rPr>
          <w:b/>
          <w:sz w:val="28"/>
        </w:rPr>
        <w:t>ПРИМЕНЯЕМЫЕ</w:t>
      </w:r>
    </w:p>
    <w:p w:rsidR="009F0463" w:rsidRDefault="009F0463" w:rsidP="009F0463">
      <w:pPr>
        <w:jc w:val="center"/>
      </w:pPr>
      <w:r>
        <w:rPr>
          <w:b/>
          <w:sz w:val="28"/>
        </w:rPr>
        <w:t>ПРИ РАСЧЕТЕ НОРМАТИВНЫХ ЗАТРАТ НА ПРИОБРЕТЕНИЕ ВЫЧИСЛИТЕЛЬНОЙ ТЕХНИКИ И РАСХОДНЫХ МАТЕРИАЛОВ  К ОРГТЕХНИКЕ</w:t>
      </w:r>
    </w:p>
    <w:p w:rsidR="009F0463" w:rsidRDefault="009F0463" w:rsidP="009F0463">
      <w:pPr>
        <w:jc w:val="center"/>
      </w:pPr>
    </w:p>
    <w:p w:rsidR="009F0463" w:rsidRDefault="009F0463" w:rsidP="009F0463">
      <w:pPr>
        <w:jc w:val="center"/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004"/>
        <w:gridCol w:w="2216"/>
        <w:gridCol w:w="3919"/>
      </w:tblGrid>
      <w:tr w:rsidR="009F0463" w:rsidTr="00237BB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rPr>
                <w:b/>
                <w:color w:val="000000"/>
              </w:rPr>
              <w:t>Категория должностей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rPr>
                <w:b/>
                <w:color w:val="000000"/>
              </w:rPr>
              <w:t>Количество вычислительной техники и расходных материалов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rPr>
                <w:b/>
                <w:color w:val="000000"/>
              </w:rPr>
              <w:t xml:space="preserve">Цена и периодичность </w:t>
            </w:r>
            <w:r w:rsidRPr="00575FBA">
              <w:rPr>
                <w:b/>
                <w:color w:val="000000"/>
              </w:rPr>
              <w:t>приобретения **</w:t>
            </w:r>
          </w:p>
        </w:tc>
      </w:tr>
      <w:tr w:rsidR="009F0463" w:rsidTr="00237BB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pPr>
              <w:ind w:firstLine="851"/>
              <w:jc w:val="center"/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pPr>
              <w:ind w:firstLine="851"/>
              <w:jc w:val="center"/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pPr>
              <w:ind w:firstLine="851"/>
              <w:jc w:val="center"/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pPr>
              <w:ind w:firstLine="851"/>
              <w:jc w:val="center"/>
            </w:pPr>
            <w:r>
              <w:rPr>
                <w:b/>
                <w:lang w:val="es-ES"/>
              </w:rPr>
              <w:t>4</w:t>
            </w:r>
          </w:p>
        </w:tc>
      </w:tr>
      <w:tr w:rsidR="009F0463" w:rsidTr="00237BB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Pr="009C6261" w:rsidRDefault="009F0463" w:rsidP="00237BB8">
            <w:r>
              <w:t xml:space="preserve">Персональный компьютер тип </w:t>
            </w:r>
            <w:r>
              <w:rPr>
                <w:lang w:val="en-US"/>
              </w:rPr>
              <w:t>«</w:t>
            </w:r>
            <w:r>
              <w:t>Ноутбук</w:t>
            </w:r>
            <w:r w:rsidRPr="00575FBA">
              <w:rPr>
                <w:lang w:val="en-US"/>
              </w:rPr>
              <w:t>»</w:t>
            </w:r>
            <w:r w:rsidRPr="00575FBA">
              <w:t xml:space="preserve"> *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Руководитель муниципального органа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Не более 1 единицы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Не более 100 тыс. рублей включительно за 1 единицу.</w:t>
            </w:r>
          </w:p>
          <w:p w:rsidR="009F0463" w:rsidRDefault="009F0463" w:rsidP="00237BB8">
            <w:r>
              <w:t>Периодичность приобретения определяется максимальным сроком полезного использования</w:t>
            </w:r>
          </w:p>
        </w:tc>
      </w:tr>
      <w:tr w:rsidR="009F0463" w:rsidTr="00237BB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Pr="009C6261" w:rsidRDefault="009F0463" w:rsidP="00237BB8">
            <w:r>
              <w:t xml:space="preserve">Персональный компьютер тип </w:t>
            </w:r>
            <w:r>
              <w:rPr>
                <w:lang w:val="en-US"/>
              </w:rPr>
              <w:t>«</w:t>
            </w:r>
            <w:r>
              <w:t>Ноутбук</w:t>
            </w:r>
            <w:r>
              <w:rPr>
                <w:lang w:val="en-US"/>
              </w:rPr>
              <w:t>»</w:t>
            </w:r>
            <w:r>
              <w:t xml:space="preserve"> </w:t>
            </w:r>
            <w:r w:rsidRPr="00575FBA">
              <w:t>*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Заместители руководителя муниципального органа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Не более 1 единицы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Не более 100 тыс. рублей включительно за 1 единицу.</w:t>
            </w:r>
          </w:p>
          <w:p w:rsidR="009F0463" w:rsidRDefault="009F0463" w:rsidP="00237BB8">
            <w:r>
              <w:t xml:space="preserve">Периодичность приобретения определяется максимальным </w:t>
            </w:r>
            <w:r>
              <w:lastRenderedPageBreak/>
              <w:t>сроком полезного использования</w:t>
            </w:r>
          </w:p>
        </w:tc>
      </w:tr>
      <w:tr w:rsidR="009F0463" w:rsidTr="00237BB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lastRenderedPageBreak/>
              <w:t xml:space="preserve">Персональный компьютер тип </w:t>
            </w:r>
            <w:r w:rsidRPr="00DB3168">
              <w:t>«</w:t>
            </w:r>
            <w:r>
              <w:t>Стационарный</w:t>
            </w:r>
            <w:r w:rsidRPr="00DB3168">
              <w:t>»</w:t>
            </w:r>
          </w:p>
          <w:p w:rsidR="009F0463" w:rsidRPr="007B2E5A" w:rsidRDefault="009F0463" w:rsidP="00237BB8">
            <w:r>
              <w:t>моноблок/системный блок и монитор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Руководитель муниципального органа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Не более 1 единицы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Не более 125 тыс. рублей включительно за 1 единицу.</w:t>
            </w:r>
          </w:p>
          <w:p w:rsidR="009F0463" w:rsidRDefault="009F0463" w:rsidP="00237BB8">
            <w:r>
              <w:t>Периодичность приобретения определяется максимальным сроком полезного использования</w:t>
            </w:r>
          </w:p>
        </w:tc>
      </w:tr>
      <w:tr w:rsidR="009F0463" w:rsidTr="00237BB8">
        <w:trPr>
          <w:trHeight w:val="12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Персональный компьютер тип </w:t>
            </w:r>
            <w:r w:rsidRPr="00DB3168">
              <w:t>«</w:t>
            </w:r>
            <w:r>
              <w:t>Стационарный</w:t>
            </w:r>
            <w:r w:rsidRPr="00DB3168">
              <w:t>»</w:t>
            </w:r>
          </w:p>
          <w:p w:rsidR="009F0463" w:rsidRPr="007B2E5A" w:rsidRDefault="009F0463" w:rsidP="00237BB8">
            <w:r>
              <w:t>моноблок/системный блок и монитор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Заместители руководителя муниципального органа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Не более 1 единицы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Не более 125 тыс. рублей включительно за 1 единицу. Периодичность приобретения определяется максимальным сроком полезного использования</w:t>
            </w:r>
          </w:p>
        </w:tc>
      </w:tr>
      <w:tr w:rsidR="009F0463" w:rsidTr="00237BB8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Персональный компьютер тип </w:t>
            </w:r>
            <w:r w:rsidRPr="00DB3168">
              <w:t>«</w:t>
            </w:r>
            <w:r>
              <w:t>Стационарный</w:t>
            </w:r>
            <w:r w:rsidRPr="00DB3168">
              <w:t>»</w:t>
            </w:r>
          </w:p>
          <w:p w:rsidR="009F0463" w:rsidRPr="007B2E5A" w:rsidRDefault="009F0463" w:rsidP="00237BB8">
            <w:r>
              <w:t>моноблок/системный блок и монитор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Руководители казенных учреждений </w:t>
            </w:r>
          </w:p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Не более 1 единицы </w:t>
            </w:r>
          </w:p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Не более 125 тыс. рублей включительно за 1 единицу. Периодичность приобретения определяется максимальным сроком полезного использования</w:t>
            </w:r>
          </w:p>
        </w:tc>
      </w:tr>
      <w:tr w:rsidR="009F0463" w:rsidTr="00237BB8">
        <w:trPr>
          <w:trHeight w:val="139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Персональный компьютер тип </w:t>
            </w:r>
            <w:r w:rsidRPr="00DB3168">
              <w:t>«</w:t>
            </w:r>
            <w:r>
              <w:t>Стационарный</w:t>
            </w:r>
            <w:r w:rsidRPr="00DB3168">
              <w:t>»</w:t>
            </w:r>
          </w:p>
          <w:p w:rsidR="009F0463" w:rsidRPr="007B2E5A" w:rsidRDefault="009F0463" w:rsidP="00237BB8">
            <w:r>
              <w:t>системный блок и монитор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Специалисты, работники казенных учреждений, не являющиеся их руководителями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 xml:space="preserve">Не более 1 единицы </w:t>
            </w:r>
          </w:p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F0463" w:rsidRDefault="009F0463" w:rsidP="00237BB8">
            <w:r>
              <w:t>Не более 125 тыс. рублей включительно за 1 единицу.</w:t>
            </w:r>
          </w:p>
          <w:p w:rsidR="009F0463" w:rsidRDefault="009F0463" w:rsidP="00237BB8">
            <w:r>
              <w:t>Периодичность приобретения определяется максимальным сроком полезного использования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0463" w:rsidRDefault="009F0463" w:rsidP="00237BB8">
            <w:r>
              <w:t>Многофункциональное устройство с черно-белой печатью формата А4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2 единицы в расчете на 1 кабинет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70 тыс. рублей</w:t>
            </w:r>
            <w:r>
              <w:t xml:space="preserve"> включительно за 1 единицу, 1 раз в 3 года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0463" w:rsidRDefault="009F0463" w:rsidP="00237BB8">
            <w:r>
              <w:t>Многофункциональное устройство с цветной печатью формата А4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 единицы в расчете на 1 кабинет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85 тыс. рублей</w:t>
            </w:r>
            <w:r>
              <w:t xml:space="preserve"> включительно за 1 единицу, 1 раз в 3 года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0463" w:rsidRDefault="009F0463" w:rsidP="00237BB8">
            <w:r>
              <w:t>Многофункциональное устройство с черно-белой печатью формата А3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100 тыс. рублей</w:t>
            </w:r>
            <w:r>
              <w:t xml:space="preserve"> включительно за 1 единицу, 1 раз в 5 лет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0463" w:rsidRDefault="009F0463" w:rsidP="00237BB8">
            <w:r>
              <w:t>Многофункциональное устройство с цветной печатью формата А3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200 тыс. рублей</w:t>
            </w:r>
            <w:r>
              <w:t xml:space="preserve"> включительно за 1 единицу, 1 раз в 5 лет</w:t>
            </w:r>
          </w:p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0463" w:rsidRDefault="009F0463" w:rsidP="00237BB8">
            <w:r>
              <w:lastRenderedPageBreak/>
              <w:t>Принтер лазерный с черно-белой печатью формата А4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 единицы в расчете на 1 рабочее место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>
              <w:rPr>
                <w:highlight w:val="yellow"/>
              </w:rPr>
              <w:t>70</w:t>
            </w:r>
            <w:r w:rsidRPr="00491B7F">
              <w:rPr>
                <w:highlight w:val="yellow"/>
              </w:rPr>
              <w:t xml:space="preserve"> тыс. рублей</w:t>
            </w:r>
            <w:r>
              <w:t xml:space="preserve"> включительно за 1 единицу, 1 раз в 3 года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0463" w:rsidRDefault="009F0463" w:rsidP="00237BB8">
            <w:r>
              <w:t>Принтер лазерный с цветной печатью формата А4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 единицы в расчете на 1 кабинет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>
              <w:rPr>
                <w:highlight w:val="yellow"/>
              </w:rPr>
              <w:t>80</w:t>
            </w:r>
            <w:r w:rsidRPr="00491B7F">
              <w:rPr>
                <w:highlight w:val="yellow"/>
              </w:rPr>
              <w:t xml:space="preserve"> тыс. рублей</w:t>
            </w:r>
            <w:r>
              <w:t xml:space="preserve"> включительно за 1 единицу, 1 раз в 3 года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0463" w:rsidRDefault="009F0463" w:rsidP="00237BB8">
            <w:r>
              <w:t>Принтер лазерный с черно-белой печатью формата А3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150 тыс. рублей</w:t>
            </w:r>
            <w:r>
              <w:t xml:space="preserve"> включительно за 1 единицу, 1 раз в 5 лет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0463" w:rsidRDefault="009F0463" w:rsidP="00237BB8">
            <w:r>
              <w:t>Принтер лазерный с цветной печатью формата А3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200 тыс. рублей</w:t>
            </w:r>
            <w:r>
              <w:t xml:space="preserve"> включительно за 1 единицу, 1 раз в 5 лет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0463" w:rsidRDefault="009F0463" w:rsidP="00237BB8">
            <w:r>
              <w:t>Аппарат факсимильной связи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По необходимости 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12 тыс. рублей включительно за 1 единицу, 1 раз в 3 года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3000C1">
            <w:r>
              <w:t>Накопитель USB-</w:t>
            </w:r>
            <w:proofErr w:type="spellStart"/>
            <w:r>
              <w:t>flash</w:t>
            </w:r>
            <w:proofErr w:type="spellEnd"/>
            <w:r>
              <w:t xml:space="preserve"> </w:t>
            </w:r>
            <w:r w:rsidR="003000C1" w:rsidRPr="00575FBA">
              <w:t>32-64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 единицы в расчете на:</w:t>
            </w:r>
          </w:p>
          <w:p w:rsidR="009F0463" w:rsidRDefault="009F0463" w:rsidP="00237BB8">
            <w:r>
              <w:t>муниципального служащего;</w:t>
            </w:r>
          </w:p>
          <w:p w:rsidR="009F0463" w:rsidRDefault="009F0463" w:rsidP="00237BB8">
            <w:r>
              <w:t>работника казенного учреждения</w:t>
            </w:r>
          </w:p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both"/>
            </w:pPr>
            <w:r>
              <w:t xml:space="preserve">Не более </w:t>
            </w:r>
            <w:r w:rsidRPr="00491B7F">
              <w:rPr>
                <w:highlight w:val="yellow"/>
              </w:rPr>
              <w:t>1,5 тыс. руб</w:t>
            </w:r>
            <w:r>
              <w:t>., 1 раз 2 года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Тонер-картридж, картридж черного цвета для принтеров лазерных с цветной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12 единиц в расчете на 1 принтер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26 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Комплект цветных тонер-картриджей, картриджей для принтеров лазерных с цветной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10 комплектов в расчете на 1 принтер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91 тыс. рублей</w:t>
            </w:r>
            <w:r>
              <w:t xml:space="preserve"> за комплект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proofErr w:type="spellStart"/>
            <w:r>
              <w:t>Принт</w:t>
            </w:r>
            <w:proofErr w:type="spellEnd"/>
            <w:r>
              <w:t>-картридж, фото барабан для принтеров лазерных с цветной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60 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Иные расходные материалы (блок проявки, девелопер, контейнер для отработанного тонера и т.п.) для принтеров лазерных с </w:t>
            </w:r>
            <w:r>
              <w:lastRenderedPageBreak/>
              <w:t>цветной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52 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lastRenderedPageBreak/>
              <w:t>Тонер-картридж, картридж для принтеров лазерных с черно-белой печатью формата A4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15 единиц в расчете на 1 принтер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>
              <w:rPr>
                <w:highlight w:val="yellow"/>
              </w:rPr>
              <w:t>13</w:t>
            </w:r>
            <w:r w:rsidRPr="00491B7F">
              <w:rPr>
                <w:highlight w:val="yellow"/>
              </w:rPr>
              <w:t> 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proofErr w:type="spellStart"/>
            <w:r>
              <w:t>Принт</w:t>
            </w:r>
            <w:proofErr w:type="spellEnd"/>
            <w:r>
              <w:t>-картридж, фото барабан для принтеров лазерных с черно-белой печатью формата A4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20 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Тонер-картридж, картридж для МФУ с черно-белой печатью формата A4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15 единиц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24 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proofErr w:type="spellStart"/>
            <w:r>
              <w:t>Принт</w:t>
            </w:r>
            <w:proofErr w:type="spellEnd"/>
            <w:r>
              <w:t>-картридж, фото барабан для МФУ с черно-белой печатью формата A4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40 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Тонер-картридж, картридж для МФУ или копировальных аппаратов с черно-белой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 12 единиц в расчете на 1 МФУ или копировальный аппарат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32 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proofErr w:type="spellStart"/>
            <w:r>
              <w:t>Принт</w:t>
            </w:r>
            <w:proofErr w:type="spellEnd"/>
            <w:r>
              <w:t>-картридж, фото вал для МФУ или копировальных аппаратов с черно-белой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72 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Иные расходные материалы (блок проявки, девелопер и т.п.) для МФУ или копировальных аппаратов с черно-белой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45 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Тонер-картридж, картридж черный для МФУ, принтера с цветной печатью формата A4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15 единиц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16 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Комплект цветных тонер-картриджей, картриджей для МФУ, принтера с цветной печатью формата A4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12 комплектов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65 тыс. рублей</w:t>
            </w:r>
            <w:r>
              <w:t xml:space="preserve"> за комплект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proofErr w:type="spellStart"/>
            <w:r>
              <w:t>Принт</w:t>
            </w:r>
            <w:proofErr w:type="spellEnd"/>
            <w:r>
              <w:t>-картридж, фото барабан для МФУ, принтеров лазерных с цветной печатью формата A4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45 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lastRenderedPageBreak/>
              <w:t>Тонер-картридж, картридж черный для МФУ с цветной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12 единиц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26 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Комплект цветных тонер-картриджей, картриджей для МФУ с цветной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Не более 10 комплектов в расчете на 1 МФУ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91 тыс. рублей</w:t>
            </w:r>
            <w:r>
              <w:t xml:space="preserve"> за комплект</w:t>
            </w:r>
          </w:p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proofErr w:type="spellStart"/>
            <w:r>
              <w:t>Принт</w:t>
            </w:r>
            <w:proofErr w:type="spellEnd"/>
            <w:r>
              <w:t>-картридж, фото барабан для принтеров лазерных с цветной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60 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Иные расходные материалы (блок проявки, девелопер, контейнер для отработанного тонера и т.п.) для МФУ лазерных с цветной печатью формата A3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52 тыс. рублей</w:t>
            </w:r>
            <w:r>
              <w:t xml:space="preserve"> за единицу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Комплект цветных картриджей для струйных принтеров, МФУ формата А4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13 тыс. рублей</w:t>
            </w:r>
            <w:r>
              <w:t xml:space="preserve"> за комплект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Комплект цветных картриджей для струйных принтеров, МФУ формата А3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33 тыс. рублей</w:t>
            </w:r>
            <w:r>
              <w:t xml:space="preserve"> за комплект</w:t>
            </w:r>
          </w:p>
        </w:tc>
      </w:tr>
      <w:tr w:rsidR="009F0463" w:rsidTr="00237BB8">
        <w:trPr>
          <w:trHeight w:val="74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>Картридж (тонер) для аппаратов факсимильной связи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F0463" w:rsidRDefault="009F0463" w:rsidP="00237BB8">
            <w:pPr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Рассчитывается по фактической потребности 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9F0463" w:rsidRDefault="009F0463" w:rsidP="00237BB8">
            <w:r>
              <w:t xml:space="preserve">Не более </w:t>
            </w:r>
            <w:r w:rsidRPr="000B3214">
              <w:rPr>
                <w:highlight w:val="yellow"/>
              </w:rPr>
              <w:t>4 тыс. рублей</w:t>
            </w:r>
            <w:r>
              <w:t xml:space="preserve"> за единицу, 2 раза в год</w:t>
            </w:r>
          </w:p>
        </w:tc>
      </w:tr>
    </w:tbl>
    <w:p w:rsidR="009F0463" w:rsidRDefault="009F0463" w:rsidP="009F0463">
      <w:pPr>
        <w:spacing w:before="200"/>
        <w:ind w:firstLine="540"/>
        <w:jc w:val="both"/>
        <w:rPr>
          <w:rFonts w:ascii="Arial" w:hAnsi="Arial"/>
          <w:sz w:val="20"/>
        </w:rPr>
      </w:pPr>
      <w:r w:rsidRPr="00575FBA">
        <w:rPr>
          <w:rFonts w:ascii="Arial" w:hAnsi="Arial"/>
          <w:sz w:val="20"/>
        </w:rPr>
        <w:t>*-</w:t>
      </w:r>
      <w:r>
        <w:rPr>
          <w:rFonts w:ascii="Arial" w:hAnsi="Arial"/>
          <w:sz w:val="20"/>
        </w:rPr>
        <w:t xml:space="preserve">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</w:t>
      </w:r>
      <w:proofErr w:type="spellStart"/>
      <w:r>
        <w:rPr>
          <w:rFonts w:ascii="Arial" w:hAnsi="Arial"/>
          <w:sz w:val="20"/>
        </w:rPr>
        <w:t>интернет-провайдера</w:t>
      </w:r>
      <w:proofErr w:type="spellEnd"/>
      <w:r>
        <w:rPr>
          <w:rFonts w:ascii="Arial" w:hAnsi="Arial"/>
          <w:sz w:val="20"/>
        </w:rPr>
        <w:t xml:space="preserve"> по передаче данных с использованием информационно-телекоммуникационной сети "Интернет" могут обеспечиваться муниципальные служащие, осуществляющие регулярные выездные проверки.</w:t>
      </w:r>
    </w:p>
    <w:p w:rsidR="009F0463" w:rsidRDefault="009F0463" w:rsidP="009F0463">
      <w:pPr>
        <w:spacing w:before="200"/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**-</w:t>
      </w:r>
      <w:r w:rsidRPr="00575FBA">
        <w:rPr>
          <w:rFonts w:ascii="Arial" w:hAnsi="Arial"/>
          <w:sz w:val="20"/>
        </w:rPr>
        <w:t>По решению руководителей муниципальных органов нормативы цены приобретения ноутбуков могут быть изменены,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нормативов.</w:t>
      </w:r>
    </w:p>
    <w:p w:rsidR="009F0463" w:rsidRDefault="009F0463" w:rsidP="009F0463">
      <w:pPr>
        <w:spacing w:before="200"/>
        <w:ind w:firstLine="540"/>
        <w:jc w:val="both"/>
      </w:pPr>
      <w:r>
        <w:rPr>
          <w:rFonts w:ascii="Arial" w:hAnsi="Arial"/>
          <w:sz w:val="20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  <w:p w:rsidR="009C4190" w:rsidRDefault="009C4190">
      <w:pPr>
        <w:widowControl/>
        <w:suppressAutoHyphens w:val="0"/>
        <w:autoSpaceDE/>
        <w:autoSpaceDN/>
        <w:adjustRightInd/>
        <w:spacing w:after="200" w:line="276" w:lineRule="auto"/>
      </w:pPr>
      <w:r>
        <w:br w:type="page"/>
      </w:r>
    </w:p>
    <w:p w:rsidR="009C5D19" w:rsidRDefault="009C4190" w:rsidP="009C5D19">
      <w:pPr>
        <w:ind w:left="9356"/>
        <w:rPr>
          <w:sz w:val="28"/>
          <w:szCs w:val="28"/>
          <w:lang w:eastAsia="en-US"/>
        </w:rPr>
      </w:pPr>
      <w:r w:rsidRPr="00DB13DE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2 </w:t>
      </w:r>
      <w:r w:rsidRPr="00DB13DE">
        <w:rPr>
          <w:sz w:val="28"/>
        </w:rPr>
        <w:t xml:space="preserve">к постановлению </w:t>
      </w:r>
      <w:r w:rsidRPr="00DB13DE">
        <w:rPr>
          <w:sz w:val="28"/>
          <w:szCs w:val="28"/>
          <w:lang w:eastAsia="en-US"/>
        </w:rPr>
        <w:t xml:space="preserve">администрации </w:t>
      </w:r>
      <w:r w:rsidR="009C5D19">
        <w:rPr>
          <w:sz w:val="28"/>
          <w:szCs w:val="28"/>
          <w:lang w:eastAsia="en-US"/>
        </w:rPr>
        <w:t>района</w:t>
      </w:r>
    </w:p>
    <w:p w:rsidR="009C4190" w:rsidRPr="00DB13DE" w:rsidRDefault="009C4190" w:rsidP="009C5D19">
      <w:pPr>
        <w:ind w:left="9356"/>
        <w:rPr>
          <w:sz w:val="28"/>
          <w:szCs w:val="28"/>
        </w:rPr>
      </w:pPr>
      <w:r w:rsidRPr="00DB13DE">
        <w:rPr>
          <w:sz w:val="28"/>
          <w:szCs w:val="28"/>
          <w:lang w:eastAsia="en-US"/>
        </w:rPr>
        <w:t xml:space="preserve">от </w:t>
      </w:r>
      <w:r w:rsidR="009C5D19">
        <w:rPr>
          <w:sz w:val="28"/>
          <w:szCs w:val="28"/>
          <w:lang w:eastAsia="en-US"/>
        </w:rPr>
        <w:t>________</w:t>
      </w:r>
      <w:r w:rsidRPr="00DB13DE">
        <w:rPr>
          <w:sz w:val="28"/>
          <w:szCs w:val="28"/>
        </w:rPr>
        <w:t>_______ № _</w:t>
      </w:r>
      <w:r w:rsidR="009C5D19">
        <w:rPr>
          <w:sz w:val="28"/>
          <w:szCs w:val="28"/>
        </w:rPr>
        <w:t>___</w:t>
      </w:r>
      <w:r w:rsidRPr="00DB13DE">
        <w:rPr>
          <w:sz w:val="28"/>
          <w:szCs w:val="28"/>
        </w:rPr>
        <w:t xml:space="preserve">____ </w:t>
      </w:r>
    </w:p>
    <w:p w:rsidR="009C4190" w:rsidRPr="00DB13DE" w:rsidRDefault="009C4190" w:rsidP="009C4190">
      <w:pPr>
        <w:jc w:val="right"/>
        <w:rPr>
          <w:sz w:val="28"/>
          <w:szCs w:val="28"/>
        </w:rPr>
      </w:pPr>
    </w:p>
    <w:p w:rsidR="009C4190" w:rsidRPr="00DB13DE" w:rsidRDefault="009C4190" w:rsidP="009C4190">
      <w:pPr>
        <w:jc w:val="right"/>
      </w:pPr>
      <w:r w:rsidRPr="00DB13DE">
        <w:rPr>
          <w:sz w:val="28"/>
          <w:szCs w:val="28"/>
        </w:rPr>
        <w:t>П</w:t>
      </w:r>
      <w:r>
        <w:rPr>
          <w:sz w:val="28"/>
        </w:rPr>
        <w:t>риложение № 2</w:t>
      </w:r>
    </w:p>
    <w:p w:rsidR="009C4190" w:rsidRPr="00DB13DE" w:rsidRDefault="009C4190" w:rsidP="009C4190">
      <w:pPr>
        <w:jc w:val="right"/>
      </w:pPr>
      <w:r w:rsidRPr="00DB13DE">
        <w:rPr>
          <w:sz w:val="28"/>
        </w:rPr>
        <w:t xml:space="preserve">к методике определения нормативных </w:t>
      </w:r>
    </w:p>
    <w:p w:rsidR="009C4190" w:rsidRPr="00DB13DE" w:rsidRDefault="009C4190" w:rsidP="009C4190">
      <w:pPr>
        <w:jc w:val="right"/>
      </w:pPr>
      <w:r w:rsidRPr="00DB13DE">
        <w:rPr>
          <w:sz w:val="28"/>
        </w:rPr>
        <w:t xml:space="preserve">затрат на обеспечение функций органов </w:t>
      </w:r>
    </w:p>
    <w:p w:rsidR="009C4190" w:rsidRPr="00DB13DE" w:rsidRDefault="009C4190" w:rsidP="009C4190">
      <w:pPr>
        <w:jc w:val="right"/>
      </w:pPr>
      <w:r w:rsidRPr="00DB13DE">
        <w:rPr>
          <w:sz w:val="28"/>
        </w:rPr>
        <w:t xml:space="preserve">местного самоуправления Енисейского района </w:t>
      </w:r>
    </w:p>
    <w:p w:rsidR="009C4190" w:rsidRPr="00DB13DE" w:rsidRDefault="009C4190" w:rsidP="009C4190">
      <w:pPr>
        <w:jc w:val="right"/>
      </w:pPr>
      <w:r w:rsidRPr="00DB13DE">
        <w:rPr>
          <w:sz w:val="28"/>
        </w:rPr>
        <w:t xml:space="preserve">Красноярского края, включая подведомственные </w:t>
      </w:r>
    </w:p>
    <w:p w:rsidR="009C4190" w:rsidRPr="00DB13DE" w:rsidRDefault="009C4190" w:rsidP="009C4190">
      <w:pPr>
        <w:jc w:val="right"/>
      </w:pPr>
      <w:r w:rsidRPr="00DB13DE">
        <w:rPr>
          <w:sz w:val="28"/>
        </w:rPr>
        <w:t>указанным органам казенные учреждения</w:t>
      </w:r>
    </w:p>
    <w:p w:rsidR="009C4190" w:rsidRPr="00DB13DE" w:rsidRDefault="009C4190" w:rsidP="009C4190">
      <w:pPr>
        <w:jc w:val="both"/>
        <w:rPr>
          <w:rFonts w:ascii="Arial" w:hAnsi="Arial"/>
          <w:sz w:val="28"/>
        </w:rPr>
      </w:pPr>
    </w:p>
    <w:p w:rsidR="009C4190" w:rsidRPr="00DB13DE" w:rsidRDefault="009C4190" w:rsidP="009C4190">
      <w:pPr>
        <w:jc w:val="center"/>
      </w:pPr>
      <w:r w:rsidRPr="00DB13DE">
        <w:rPr>
          <w:b/>
          <w:sz w:val="28"/>
        </w:rPr>
        <w:t>НОРМАТИВЫ</w:t>
      </w:r>
    </w:p>
    <w:p w:rsidR="009C4190" w:rsidRPr="00DB13DE" w:rsidRDefault="009C4190" w:rsidP="009C4190">
      <w:pPr>
        <w:jc w:val="center"/>
      </w:pPr>
      <w:r w:rsidRPr="00DB13DE">
        <w:rPr>
          <w:b/>
          <w:sz w:val="28"/>
        </w:rPr>
        <w:t>ОБЕСПЕЧЕНИЯ ФУНКЦИЙ ОРГАНОВ МЕСТНОГО САМОУПРАВЛЕНИЯ ЕНИСЕЙСКОГО РАЙОНА КРАСНОЯРСКОГО КРАЯ, ВКЛЮЧАЯ ПОДВЕДОМСТВЕННЫЕ УКАЗАННЫМ ОРГАНАМ КАЗЕННЫЕ УЧРЕЖДЕНИЯ</w:t>
      </w:r>
      <w:r w:rsidRPr="00DB13DE">
        <w:rPr>
          <w:rFonts w:ascii="Arial" w:hAnsi="Arial"/>
          <w:b/>
          <w:sz w:val="28"/>
        </w:rPr>
        <w:t xml:space="preserve">, </w:t>
      </w:r>
      <w:r w:rsidRPr="00DB13DE">
        <w:rPr>
          <w:b/>
          <w:sz w:val="28"/>
        </w:rPr>
        <w:t>ПРИМЕНЯЕМЫЕ</w:t>
      </w:r>
    </w:p>
    <w:p w:rsidR="009C4190" w:rsidRDefault="009C4190" w:rsidP="009C4190">
      <w:pPr>
        <w:jc w:val="center"/>
        <w:rPr>
          <w:b/>
          <w:sz w:val="28"/>
        </w:rPr>
      </w:pPr>
      <w:r w:rsidRPr="00DB13DE">
        <w:rPr>
          <w:b/>
          <w:sz w:val="28"/>
        </w:rPr>
        <w:t xml:space="preserve">ПРИ РАСЧЕТЕ НОРМАТИВНЫХ ЗАТРАТ НА ПРИОБРЕТЕНИЕ </w:t>
      </w:r>
      <w:r>
        <w:rPr>
          <w:b/>
          <w:sz w:val="28"/>
        </w:rPr>
        <w:t>СЛУЖЕБНОГО ЛЕГКОВОГО АВТОТРАНСПОРТА</w:t>
      </w:r>
    </w:p>
    <w:p w:rsidR="009C4190" w:rsidRPr="00DB13DE" w:rsidRDefault="009C4190" w:rsidP="009C4190">
      <w:pPr>
        <w:jc w:val="center"/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177"/>
        <w:gridCol w:w="2415"/>
        <w:gridCol w:w="4748"/>
      </w:tblGrid>
      <w:tr w:rsidR="009C4190" w:rsidRPr="00DB13DE" w:rsidTr="00237BB8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rPr>
                <w:b/>
                <w:color w:val="000000"/>
              </w:rPr>
              <w:t>Вид автотранспорта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rPr>
                <w:b/>
                <w:color w:val="000000"/>
              </w:rPr>
              <w:t>Должности в органах местного самоуправления Енисейского района и подведомственных указанным органам казенных, бюджетных учреждениях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rPr>
                <w:b/>
                <w:color w:val="000000"/>
              </w:rPr>
              <w:t>Количество транспортных средств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 w:rsidRPr="00DB13DE">
              <w:rPr>
                <w:b/>
                <w:color w:val="000000"/>
              </w:rPr>
              <w:t xml:space="preserve">Цена и </w:t>
            </w:r>
            <w:r>
              <w:rPr>
                <w:b/>
                <w:color w:val="000000"/>
              </w:rPr>
              <w:t>мощность транспортного средства*</w:t>
            </w:r>
          </w:p>
        </w:tc>
      </w:tr>
      <w:tr w:rsidR="009C4190" w:rsidRPr="00DB13DE" w:rsidTr="00237BB8">
        <w:trPr>
          <w:trHeight w:val="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t>Служебный легковой автомобиль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t xml:space="preserve">выборное высшее должностное лицо муниципального образования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t>не более 2000 тысяч рублей и не более 200 лошадиных сил включительно</w:t>
            </w:r>
          </w:p>
        </w:tc>
      </w:tr>
      <w:tr w:rsidR="009C4190" w:rsidRPr="00DB13DE" w:rsidTr="00237BB8">
        <w:trPr>
          <w:trHeight w:val="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Default="009C4190" w:rsidP="00237BB8"/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Default="009C4190" w:rsidP="00237BB8">
            <w:r>
              <w:t>должности муниципальной службы категории «руководители»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Default="009C4190" w:rsidP="00237BB8">
            <w: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t>не более 1500 тысяч рублей и не более 200 лошадиных сил включительно</w:t>
            </w:r>
          </w:p>
        </w:tc>
      </w:tr>
      <w:tr w:rsidR="009C4190" w:rsidRPr="00DB13DE" w:rsidTr="009C4190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Default="009C4190" w:rsidP="00237BB8"/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t>руководители казенных и бюджетных учреждений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237BB8">
            <w:r>
              <w:t>не более 1500 тысяч рублей и не более 200 лошадиных сил включительно</w:t>
            </w:r>
          </w:p>
        </w:tc>
      </w:tr>
      <w:tr w:rsidR="009C4190" w:rsidRPr="00DB13DE" w:rsidTr="00237BB8">
        <w:trPr>
          <w:trHeight w:val="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Default="009C4190" w:rsidP="00237BB8"/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Default="009C4190" w:rsidP="00237BB8">
            <w:r>
              <w:t>Иные должности муниципальной службы, сотрудники казенных и бюджетных учреждений (за исключением руководителей)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Default="009C4190" w:rsidP="009C4190">
            <w:r>
              <w:t xml:space="preserve">Не более 1 единицы, если предельная численность служащих составляет менее 30 </w:t>
            </w:r>
            <w:r>
              <w:lastRenderedPageBreak/>
              <w:t>единиц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8" w:type="dxa"/>
              <w:right w:w="148" w:type="dxa"/>
            </w:tcMar>
          </w:tcPr>
          <w:p w:rsidR="009C4190" w:rsidRPr="00DB13DE" w:rsidRDefault="009C4190" w:rsidP="009C4190">
            <w:r>
              <w:lastRenderedPageBreak/>
              <w:t>не более 1000 тысяч рублей и не более 200 лошадиных сил включительно</w:t>
            </w:r>
          </w:p>
        </w:tc>
      </w:tr>
    </w:tbl>
    <w:p w:rsidR="009C4190" w:rsidRDefault="009C4190" w:rsidP="009C4190">
      <w:pPr>
        <w:jc w:val="center"/>
        <w:rPr>
          <w:rFonts w:ascii="Arial" w:hAnsi="Arial"/>
          <w:sz w:val="20"/>
        </w:rPr>
      </w:pPr>
    </w:p>
    <w:p w:rsidR="009C4190" w:rsidRPr="00B1645B" w:rsidRDefault="009C4190" w:rsidP="009C4190">
      <w:pPr>
        <w:widowControl/>
        <w:suppressAutoHyphens w:val="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 xml:space="preserve">* По решению руководителей муниципальных </w:t>
      </w:r>
      <w:r w:rsidRPr="00B1645B">
        <w:rPr>
          <w:rFonts w:eastAsiaTheme="minorHAnsi"/>
          <w:kern w:val="0"/>
          <w:sz w:val="28"/>
          <w:szCs w:val="28"/>
          <w:lang w:eastAsia="en-US" w:bidi="ar-SA"/>
        </w:rPr>
        <w:t xml:space="preserve">органов нормативы цены приобретения транспортных средств могут быть изменены, но не более чем на индекс потребительских цен на легковой автомобиль (отечественный, новый) по данным Федеральной службы государственной статистики за период </w:t>
      </w:r>
      <w:r>
        <w:rPr>
          <w:rFonts w:eastAsiaTheme="minorHAnsi"/>
          <w:kern w:val="0"/>
          <w:sz w:val="28"/>
          <w:szCs w:val="28"/>
          <w:lang w:eastAsia="en-US" w:bidi="ar-SA"/>
        </w:rPr>
        <w:t>действия указанных нормативов.</w:t>
      </w:r>
    </w:p>
    <w:p w:rsidR="009C4190" w:rsidRPr="00DB13DE" w:rsidRDefault="009C4190" w:rsidP="009C4190">
      <w:pPr>
        <w:jc w:val="center"/>
        <w:rPr>
          <w:rFonts w:ascii="Arial" w:hAnsi="Arial"/>
          <w:sz w:val="20"/>
        </w:rPr>
      </w:pPr>
    </w:p>
    <w:p w:rsidR="00890A3F" w:rsidRDefault="00890A3F"/>
    <w:sectPr w:rsidR="00890A3F" w:rsidSect="00D31FE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8A1"/>
    <w:rsid w:val="00035065"/>
    <w:rsid w:val="00063ED7"/>
    <w:rsid w:val="00120DE1"/>
    <w:rsid w:val="00136466"/>
    <w:rsid w:val="001729B2"/>
    <w:rsid w:val="00262ADF"/>
    <w:rsid w:val="002E1D3D"/>
    <w:rsid w:val="003000C1"/>
    <w:rsid w:val="00313AE7"/>
    <w:rsid w:val="003214E0"/>
    <w:rsid w:val="00336037"/>
    <w:rsid w:val="003817CD"/>
    <w:rsid w:val="003D00F9"/>
    <w:rsid w:val="003F4328"/>
    <w:rsid w:val="0040145A"/>
    <w:rsid w:val="004622B6"/>
    <w:rsid w:val="00486439"/>
    <w:rsid w:val="00575FBA"/>
    <w:rsid w:val="00604FAD"/>
    <w:rsid w:val="006355B2"/>
    <w:rsid w:val="0067760C"/>
    <w:rsid w:val="006D25C4"/>
    <w:rsid w:val="007118F1"/>
    <w:rsid w:val="00717729"/>
    <w:rsid w:val="0072461D"/>
    <w:rsid w:val="007E5856"/>
    <w:rsid w:val="00890A3F"/>
    <w:rsid w:val="00896634"/>
    <w:rsid w:val="008D248D"/>
    <w:rsid w:val="008D34B1"/>
    <w:rsid w:val="00933098"/>
    <w:rsid w:val="00942CAE"/>
    <w:rsid w:val="0095509F"/>
    <w:rsid w:val="009C4190"/>
    <w:rsid w:val="009C5D19"/>
    <w:rsid w:val="009F0463"/>
    <w:rsid w:val="00A01AD4"/>
    <w:rsid w:val="00A279DE"/>
    <w:rsid w:val="00A86DAB"/>
    <w:rsid w:val="00B1645B"/>
    <w:rsid w:val="00B61D44"/>
    <w:rsid w:val="00BB621C"/>
    <w:rsid w:val="00BE74E5"/>
    <w:rsid w:val="00BF4446"/>
    <w:rsid w:val="00BF5124"/>
    <w:rsid w:val="00C822E4"/>
    <w:rsid w:val="00CC2D39"/>
    <w:rsid w:val="00CF70E1"/>
    <w:rsid w:val="00D31FEF"/>
    <w:rsid w:val="00D91BAE"/>
    <w:rsid w:val="00D975AF"/>
    <w:rsid w:val="00DA69A3"/>
    <w:rsid w:val="00DB13DE"/>
    <w:rsid w:val="00E0227C"/>
    <w:rsid w:val="00E42D69"/>
    <w:rsid w:val="00EA28A1"/>
    <w:rsid w:val="00EA6A67"/>
    <w:rsid w:val="00ED33E3"/>
    <w:rsid w:val="00EE4AC4"/>
    <w:rsid w:val="00F2647E"/>
    <w:rsid w:val="00F6662D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24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E585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56"/>
    <w:rPr>
      <w:rFonts w:ascii="Tahoma" w:eastAsiaTheme="minorEastAsia" w:hAnsi="Tahoma" w:cs="Mangal"/>
      <w:kern w:val="1"/>
      <w:sz w:val="16"/>
      <w:szCs w:val="14"/>
      <w:lang w:eastAsia="ru-RU" w:bidi="hi-IN"/>
    </w:rPr>
  </w:style>
  <w:style w:type="paragraph" w:customStyle="1" w:styleId="p5">
    <w:name w:val="p5"/>
    <w:basedOn w:val="a"/>
    <w:rsid w:val="009C4190"/>
    <w:pPr>
      <w:widowControl/>
      <w:suppressAutoHyphens w:val="0"/>
      <w:autoSpaceDE/>
      <w:autoSpaceDN/>
      <w:adjustRightInd/>
      <w:spacing w:before="100" w:beforeAutospacing="1" w:after="100" w:afterAutospacing="1"/>
      <w:ind w:firstLine="566"/>
      <w:jc w:val="both"/>
    </w:pPr>
    <w:rPr>
      <w:kern w:val="0"/>
      <w:lang w:bidi="ar-SA"/>
    </w:rPr>
  </w:style>
  <w:style w:type="character" w:styleId="a6">
    <w:name w:val="annotation reference"/>
    <w:basedOn w:val="a0"/>
    <w:uiPriority w:val="99"/>
    <w:semiHidden/>
    <w:unhideWhenUsed/>
    <w:rsid w:val="009C4190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C4190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C4190"/>
    <w:rPr>
      <w:rFonts w:ascii="Times New Roman" w:eastAsiaTheme="minorEastAsia" w:hAnsi="Times New Roman" w:cs="Mangal"/>
      <w:kern w:val="1"/>
      <w:sz w:val="20"/>
      <w:szCs w:val="18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9AA9BBF7D7FC5D41C18C559C18DEBFDD4BBA72D8CA0AF221D4E3D77A1D86F4B0A0275E7025F1FF62A469E69D1700172FBC3CEF5oA1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79AA9BBF7D7FC5D41C18C559C18DEBFDD4BBA72D8CA0AF221D4E3D77A1D86F4B0A027CEC09001AE33B1E926DCA6E036EE7C1CCoF14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3A331E527214640DA26D45E9F8FE3ACA59D4B117D84DDF0C207663A1EE9EA895N55FJ" TargetMode="External"/><Relationship Id="rId5" Type="http://schemas.openxmlformats.org/officeDocument/2006/relationships/hyperlink" Target="consultantplus://offline/ref=E53A331E527214640DA26D45E9F8FE3ACA59D4B117D84DDF0C207663A1EE9EA895N55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Филипенкова Евгения Михайловна</dc:creator>
  <cp:lastModifiedBy>Эстер Ирина Анатольевна</cp:lastModifiedBy>
  <cp:revision>5</cp:revision>
  <cp:lastPrinted>2023-07-14T04:45:00Z</cp:lastPrinted>
  <dcterms:created xsi:type="dcterms:W3CDTF">2023-06-30T02:38:00Z</dcterms:created>
  <dcterms:modified xsi:type="dcterms:W3CDTF">2023-07-27T02:47:00Z</dcterms:modified>
</cp:coreProperties>
</file>