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4" w:rsidRPr="00C8680F" w:rsidRDefault="00352B64" w:rsidP="00352B6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2B64" w:rsidRPr="00C8680F" w:rsidRDefault="00352B64" w:rsidP="00352B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0A7" w:rsidRPr="007550A7" w:rsidRDefault="007550A7" w:rsidP="007550A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r w:rsidRPr="007550A7">
        <w:rPr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7550A7" w:rsidRPr="007550A7" w:rsidRDefault="007550A7" w:rsidP="007550A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ar-SA"/>
        </w:rPr>
      </w:pPr>
      <w:bookmarkStart w:id="0" w:name="_GoBack"/>
      <w:bookmarkEnd w:id="0"/>
      <w:r w:rsidRPr="007550A7">
        <w:rPr>
          <w:b/>
          <w:bCs/>
          <w:sz w:val="36"/>
          <w:szCs w:val="36"/>
          <w:lang w:eastAsia="ar-SA"/>
        </w:rPr>
        <w:t>Красноярского края</w:t>
      </w:r>
    </w:p>
    <w:p w:rsidR="007550A7" w:rsidRPr="007550A7" w:rsidRDefault="007550A7" w:rsidP="007550A7">
      <w:pPr>
        <w:suppressAutoHyphens/>
        <w:overflowPunct w:val="0"/>
        <w:autoSpaceDE w:val="0"/>
        <w:autoSpaceDN w:val="0"/>
        <w:adjustRightInd w:val="0"/>
        <w:jc w:val="center"/>
        <w:rPr>
          <w:b/>
          <w:bCs/>
          <w:sz w:val="44"/>
          <w:szCs w:val="44"/>
          <w:lang w:eastAsia="ar-SA"/>
        </w:rPr>
      </w:pPr>
      <w:r w:rsidRPr="007550A7">
        <w:rPr>
          <w:b/>
          <w:bCs/>
          <w:sz w:val="44"/>
          <w:szCs w:val="44"/>
          <w:lang w:eastAsia="ar-SA"/>
        </w:rPr>
        <w:t>ПОСТАНОВЛЕНИЕ</w:t>
      </w:r>
    </w:p>
    <w:p w:rsidR="007550A7" w:rsidRPr="007550A7" w:rsidRDefault="007550A7" w:rsidP="007550A7">
      <w:pPr>
        <w:suppressAutoHyphens/>
        <w:overflowPunct w:val="0"/>
        <w:autoSpaceDE w:val="0"/>
        <w:autoSpaceDN w:val="0"/>
        <w:adjustRightInd w:val="0"/>
        <w:jc w:val="center"/>
        <w:rPr>
          <w:sz w:val="36"/>
          <w:szCs w:val="36"/>
          <w:lang w:eastAsia="ar-SA"/>
        </w:rPr>
      </w:pPr>
    </w:p>
    <w:p w:rsidR="007550A7" w:rsidRPr="007550A7" w:rsidRDefault="007550A7" w:rsidP="007550A7">
      <w:pPr>
        <w:widowControl w:val="0"/>
        <w:suppressAutoHyphens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755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550A7" w:rsidRPr="007550A7" w:rsidRDefault="007550A7" w:rsidP="007550A7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7550A7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5</w:t>
      </w:r>
      <w:r w:rsidRPr="007550A7">
        <w:rPr>
          <w:sz w:val="20"/>
          <w:szCs w:val="20"/>
          <w:u w:val="single"/>
        </w:rPr>
        <w:t>.10.2016</w:t>
      </w:r>
      <w:r w:rsidRPr="007550A7">
        <w:rPr>
          <w:sz w:val="20"/>
          <w:szCs w:val="20"/>
        </w:rPr>
        <w:t xml:space="preserve"> </w:t>
      </w:r>
      <w:r w:rsidRPr="007550A7">
        <w:rPr>
          <w:sz w:val="20"/>
          <w:szCs w:val="20"/>
        </w:rPr>
        <w:tab/>
      </w:r>
      <w:r w:rsidRPr="007550A7">
        <w:rPr>
          <w:sz w:val="20"/>
          <w:szCs w:val="20"/>
        </w:rPr>
        <w:tab/>
      </w:r>
      <w:r w:rsidRPr="007550A7">
        <w:rPr>
          <w:sz w:val="20"/>
          <w:szCs w:val="20"/>
        </w:rPr>
        <w:tab/>
      </w:r>
      <w:r w:rsidRPr="007550A7">
        <w:rPr>
          <w:sz w:val="20"/>
          <w:szCs w:val="20"/>
        </w:rPr>
        <w:tab/>
        <w:t xml:space="preserve"> </w:t>
      </w:r>
      <w:r w:rsidRPr="007550A7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755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7550A7">
        <w:rPr>
          <w:sz w:val="20"/>
          <w:szCs w:val="20"/>
        </w:rPr>
        <w:t xml:space="preserve">  Енисейск                                              </w:t>
      </w:r>
      <w:r>
        <w:rPr>
          <w:sz w:val="20"/>
          <w:szCs w:val="20"/>
        </w:rPr>
        <w:t xml:space="preserve">      </w:t>
      </w:r>
      <w:r w:rsidRPr="00755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550A7">
        <w:rPr>
          <w:sz w:val="20"/>
          <w:szCs w:val="20"/>
        </w:rPr>
        <w:t xml:space="preserve">     </w:t>
      </w:r>
      <w:r w:rsidRPr="007550A7">
        <w:rPr>
          <w:sz w:val="20"/>
          <w:szCs w:val="20"/>
          <w:u w:val="single"/>
        </w:rPr>
        <w:t>№ 59</w:t>
      </w:r>
      <w:r>
        <w:rPr>
          <w:sz w:val="20"/>
          <w:szCs w:val="20"/>
          <w:u w:val="single"/>
        </w:rPr>
        <w:t>8</w:t>
      </w:r>
      <w:r w:rsidRPr="007550A7">
        <w:rPr>
          <w:sz w:val="20"/>
          <w:szCs w:val="20"/>
          <w:u w:val="single"/>
        </w:rPr>
        <w:t>-п</w:t>
      </w:r>
    </w:p>
    <w:p w:rsidR="00352B64" w:rsidRDefault="00352B64" w:rsidP="00352B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EB8" w:rsidRDefault="00D81EB8" w:rsidP="007550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2B64" w:rsidRPr="007B69CE" w:rsidRDefault="00352B64" w:rsidP="00352B64">
      <w:pPr>
        <w:jc w:val="both"/>
      </w:pPr>
      <w:r>
        <w:t xml:space="preserve">О внесении </w:t>
      </w:r>
      <w:r w:rsidR="008D3585">
        <w:t>изменений в постановление администрации Енисейского района от 03.02.2012 № 61-п «</w:t>
      </w:r>
      <w:r>
        <w:t xml:space="preserve">Об определении </w:t>
      </w:r>
      <w:r w:rsidRPr="00C8680F">
        <w:t>размер</w:t>
      </w:r>
      <w:r>
        <w:t>а</w:t>
      </w:r>
      <w:r w:rsidRPr="00C8680F">
        <w:t xml:space="preserve"> вреда, причиняемого транспортными средствами, осуществляющим</w:t>
      </w:r>
      <w:r>
        <w:t>и перевозки тяжеловесных грузов, по автомобильным дорогам общего пользования муниципального образования Енисейский район Красноярского края</w:t>
      </w:r>
      <w:r w:rsidR="008D3585">
        <w:t>»</w:t>
      </w:r>
    </w:p>
    <w:p w:rsidR="00352B64" w:rsidRDefault="00352B64" w:rsidP="00352B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B64" w:rsidRPr="00714DE8" w:rsidRDefault="00352B64" w:rsidP="00714DE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F706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9 статьи 31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Постановления Правительства Российской Федерации от 16.11.2009 № </w:t>
      </w:r>
      <w:r w:rsidRPr="00714DE8">
        <w:rPr>
          <w:rFonts w:ascii="Times New Roman" w:hAnsi="Times New Roman" w:cs="Times New Roman"/>
          <w:b w:val="0"/>
          <w:sz w:val="28"/>
          <w:szCs w:val="28"/>
        </w:rPr>
        <w:t>934</w:t>
      </w:r>
      <w:r w:rsidR="00AF7061" w:rsidRPr="00714D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DE8">
        <w:rPr>
          <w:rFonts w:ascii="Times New Roman" w:hAnsi="Times New Roman" w:cs="Times New Roman"/>
          <w:b w:val="0"/>
          <w:sz w:val="28"/>
          <w:szCs w:val="28"/>
        </w:rPr>
        <w:t>«</w:t>
      </w:r>
      <w:r w:rsidR="00714DE8" w:rsidRPr="00714DE8">
        <w:rPr>
          <w:rFonts w:ascii="Times New Roman" w:hAnsi="Times New Roman" w:cs="Times New Roman"/>
          <w:b w:val="0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714DE8">
        <w:rPr>
          <w:rFonts w:ascii="Times New Roman" w:hAnsi="Times New Roman" w:cs="Times New Roman"/>
          <w:b w:val="0"/>
          <w:sz w:val="28"/>
          <w:szCs w:val="28"/>
        </w:rPr>
        <w:t>»</w:t>
      </w:r>
      <w:r w:rsidR="00955E4B" w:rsidRPr="00714DE8">
        <w:rPr>
          <w:rFonts w:ascii="Times New Roman" w:hAnsi="Times New Roman" w:cs="Times New Roman"/>
          <w:b w:val="0"/>
          <w:sz w:val="28"/>
          <w:szCs w:val="28"/>
        </w:rPr>
        <w:t>, ст. 16</w:t>
      </w:r>
      <w:r w:rsidRPr="00714DE8">
        <w:rPr>
          <w:rFonts w:ascii="Times New Roman" w:hAnsi="Times New Roman" w:cs="Times New Roman"/>
          <w:b w:val="0"/>
          <w:sz w:val="28"/>
          <w:szCs w:val="28"/>
        </w:rPr>
        <w:t>, 29 Устава Енисейского</w:t>
      </w:r>
      <w:proofErr w:type="gramEnd"/>
      <w:r w:rsidRPr="00714DE8">
        <w:rPr>
          <w:rFonts w:ascii="Times New Roman" w:hAnsi="Times New Roman" w:cs="Times New Roman"/>
          <w:b w:val="0"/>
          <w:sz w:val="28"/>
          <w:szCs w:val="28"/>
        </w:rPr>
        <w:t xml:space="preserve"> района ПОСТАНОВЛЯЮ:</w:t>
      </w:r>
    </w:p>
    <w:p w:rsidR="00352B64" w:rsidRPr="00C8680F" w:rsidRDefault="00352B64" w:rsidP="002408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0F">
        <w:rPr>
          <w:rFonts w:ascii="Times New Roman" w:hAnsi="Times New Roman" w:cs="Times New Roman"/>
          <w:sz w:val="28"/>
          <w:szCs w:val="28"/>
        </w:rPr>
        <w:t xml:space="preserve">1. </w:t>
      </w:r>
      <w:r w:rsidR="00955E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3F0E">
        <w:rPr>
          <w:rFonts w:ascii="Times New Roman" w:hAnsi="Times New Roman" w:cs="Times New Roman"/>
          <w:sz w:val="28"/>
          <w:szCs w:val="28"/>
        </w:rPr>
        <w:t>к постановлению</w:t>
      </w:r>
      <w:r w:rsidR="00955E4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Pr="00C8680F">
        <w:rPr>
          <w:rFonts w:ascii="Times New Roman" w:hAnsi="Times New Roman" w:cs="Times New Roman"/>
          <w:sz w:val="28"/>
          <w:szCs w:val="28"/>
        </w:rPr>
        <w:t>.</w:t>
      </w:r>
    </w:p>
    <w:p w:rsidR="00352B64" w:rsidRDefault="00352B64" w:rsidP="00240887">
      <w:pPr>
        <w:ind w:right="-5"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</w:t>
      </w:r>
      <w:r w:rsidR="00EF1793">
        <w:t>ого заместителя  главы района А. Ю. Губанова</w:t>
      </w:r>
      <w:r>
        <w:t>.</w:t>
      </w:r>
    </w:p>
    <w:p w:rsidR="00352B64" w:rsidRDefault="00352B64" w:rsidP="00240887">
      <w:pPr>
        <w:ind w:firstLine="540"/>
        <w:jc w:val="both"/>
      </w:pPr>
      <w:r>
        <w:t>3. Постановление вступает в силу со дня подписа</w:t>
      </w:r>
      <w:r w:rsidR="00FA6E6F">
        <w:t>ния,</w:t>
      </w:r>
      <w:r w:rsidR="00093F0E">
        <w:t xml:space="preserve"> подлежит </w:t>
      </w:r>
      <w:r w:rsidR="00FA6E6F">
        <w:t xml:space="preserve">официальному </w:t>
      </w:r>
      <w:r w:rsidR="00093F0E">
        <w:t>опубликованию</w:t>
      </w:r>
      <w:r w:rsidR="00FA6E6F">
        <w:t xml:space="preserve"> (обнародованию)</w:t>
      </w:r>
      <w:r w:rsidR="00093F0E">
        <w:t xml:space="preserve"> </w:t>
      </w:r>
      <w:r w:rsidR="00440CD7">
        <w:t xml:space="preserve">и размещению </w:t>
      </w:r>
      <w:r>
        <w:t>на официальном информационном Интернет-сайте Енисейского района.</w:t>
      </w:r>
    </w:p>
    <w:p w:rsidR="00352B64" w:rsidRDefault="00352B64" w:rsidP="00352B64">
      <w:pPr>
        <w:jc w:val="both"/>
      </w:pPr>
    </w:p>
    <w:p w:rsidR="00352B64" w:rsidRDefault="00352B64" w:rsidP="00352B64">
      <w:pPr>
        <w:jc w:val="both"/>
      </w:pPr>
    </w:p>
    <w:p w:rsidR="00D81EB8" w:rsidRDefault="00D81EB8" w:rsidP="00D81EB8">
      <w:proofErr w:type="gramStart"/>
      <w:r>
        <w:t>Исполняющий</w:t>
      </w:r>
      <w:proofErr w:type="gramEnd"/>
      <w:r>
        <w:t xml:space="preserve"> обязанности </w:t>
      </w:r>
    </w:p>
    <w:p w:rsidR="00352B64" w:rsidRDefault="00D81EB8" w:rsidP="00D81EB8">
      <w:r>
        <w:t>главы района</w:t>
      </w:r>
      <w:r w:rsidR="00352B64">
        <w:t xml:space="preserve">                                                  </w:t>
      </w:r>
      <w:r w:rsidR="00EF1793">
        <w:t xml:space="preserve">                      </w:t>
      </w:r>
      <w:r>
        <w:t xml:space="preserve">           </w:t>
      </w:r>
      <w:r w:rsidR="00EF1793">
        <w:t xml:space="preserve">            </w:t>
      </w:r>
      <w:r>
        <w:t>А. Ю. Губанов</w:t>
      </w:r>
    </w:p>
    <w:p w:rsidR="00352B64" w:rsidRDefault="00352B64" w:rsidP="00352B6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50A7" w:rsidRDefault="007550A7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50A7" w:rsidRDefault="007550A7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50A7" w:rsidRDefault="007550A7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50A7" w:rsidRDefault="007550A7" w:rsidP="00352B64">
      <w:pPr>
        <w:pStyle w:val="ConsPlusNormal"/>
        <w:widowControl/>
        <w:ind w:left="566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52B64" w:rsidRPr="00C8680F" w:rsidRDefault="00955E4B" w:rsidP="00352B64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2B64" w:rsidRPr="00C8680F" w:rsidRDefault="00352B64" w:rsidP="00352B64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C8680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52B64" w:rsidRDefault="00352B64" w:rsidP="00352B64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352B64" w:rsidRPr="00C8680F" w:rsidRDefault="00352B64" w:rsidP="00352B64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N _________</w:t>
      </w:r>
    </w:p>
    <w:p w:rsidR="00352B64" w:rsidRPr="00C8680F" w:rsidRDefault="00352B64" w:rsidP="00352B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2B64" w:rsidRDefault="00352B64" w:rsidP="00352B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7F28" w:rsidRPr="00547F28" w:rsidRDefault="00547F28" w:rsidP="00547F2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47F28">
        <w:rPr>
          <w:rFonts w:ascii="Times New Roman" w:hAnsi="Times New Roman" w:cs="Times New Roman"/>
          <w:b w:val="0"/>
          <w:sz w:val="28"/>
          <w:szCs w:val="28"/>
        </w:rPr>
        <w:t>Показатели 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муниципального образования Енисейский район</w:t>
      </w:r>
    </w:p>
    <w:p w:rsidR="00352B64" w:rsidRDefault="00352B64" w:rsidP="00352B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7F28" w:rsidRPr="00547F28" w:rsidRDefault="00547F28" w:rsidP="00547F28">
      <w:pPr>
        <w:ind w:firstLine="698"/>
        <w:jc w:val="right"/>
      </w:pPr>
      <w:bookmarkStart w:id="1" w:name="sub_2001"/>
      <w:r w:rsidRPr="00547F28">
        <w:rPr>
          <w:rStyle w:val="a4"/>
          <w:b w:val="0"/>
        </w:rPr>
        <w:t>Таблица 1</w:t>
      </w:r>
    </w:p>
    <w:bookmarkEnd w:id="1"/>
    <w:p w:rsidR="00547F28" w:rsidRPr="00547F28" w:rsidRDefault="00547F28" w:rsidP="00547F28"/>
    <w:p w:rsidR="00547F28" w:rsidRPr="00547F28" w:rsidRDefault="00547F28" w:rsidP="00547F2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7F28">
        <w:rPr>
          <w:rFonts w:ascii="Times New Roman" w:hAnsi="Times New Roman" w:cs="Times New Roman"/>
          <w:b w:val="0"/>
          <w:sz w:val="28"/>
          <w:szCs w:val="28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муниципального образования Енисейский район, рассчитанных под осевую нагрузку 10 тонн/ось, от превышения допустимых осевых нагрузок на каждую ось транспортного средства</w:t>
      </w:r>
    </w:p>
    <w:p w:rsidR="00547F28" w:rsidRDefault="00547F28" w:rsidP="00547F28"/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23"/>
      </w:tblGrid>
      <w:tr w:rsidR="00547F28" w:rsidRPr="00547F28" w:rsidTr="00547F28">
        <w:tc>
          <w:tcPr>
            <w:tcW w:w="10300" w:type="dxa"/>
            <w:gridSpan w:val="2"/>
          </w:tcPr>
          <w:p w:rsidR="00547F28" w:rsidRPr="00547F28" w:rsidRDefault="00547F28" w:rsidP="009162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(рублей на 100 км)</w:t>
            </w:r>
          </w:p>
        </w:tc>
      </w:tr>
      <w:tr w:rsidR="00547F28" w:rsidRPr="00547F28" w:rsidTr="007333C8">
        <w:trPr>
          <w:trHeight w:val="1104"/>
        </w:trPr>
        <w:tc>
          <w:tcPr>
            <w:tcW w:w="2977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вреда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1963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10 до 20</w:t>
            </w:r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3139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bookmarkStart w:id="2" w:name="sub_20023"/>
            <w:r w:rsidRPr="00547F28">
              <w:rPr>
                <w:rFonts w:ascii="Times New Roman" w:hAnsi="Times New Roman" w:cs="Times New Roman"/>
              </w:rPr>
              <w:t>Свыше 20 до 30</w:t>
            </w:r>
            <w:bookmarkEnd w:id="2"/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5021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bookmarkStart w:id="3" w:name="sub_20024"/>
            <w:r w:rsidRPr="00547F28">
              <w:rPr>
                <w:rFonts w:ascii="Times New Roman" w:hAnsi="Times New Roman" w:cs="Times New Roman"/>
              </w:rPr>
              <w:t>Свыше 30 до 40</w:t>
            </w:r>
            <w:bookmarkEnd w:id="3"/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7587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bookmarkStart w:id="4" w:name="sub_20025"/>
            <w:r w:rsidRPr="00547F28">
              <w:rPr>
                <w:rFonts w:ascii="Times New Roman" w:hAnsi="Times New Roman" w:cs="Times New Roman"/>
              </w:rPr>
              <w:t>Свыше 40 до 50</w:t>
            </w:r>
            <w:bookmarkEnd w:id="4"/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10821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bookmarkStart w:id="5" w:name="sub_20026"/>
            <w:r w:rsidRPr="00547F28">
              <w:rPr>
                <w:rFonts w:ascii="Times New Roman" w:hAnsi="Times New Roman" w:cs="Times New Roman"/>
              </w:rPr>
              <w:t>Свыше 50 до 60</w:t>
            </w:r>
            <w:bookmarkEnd w:id="5"/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14711</w:t>
            </w:r>
          </w:p>
        </w:tc>
      </w:tr>
      <w:tr w:rsidR="00547F28" w:rsidRPr="00547F28" w:rsidTr="00547F28">
        <w:tc>
          <w:tcPr>
            <w:tcW w:w="2977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7323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547F28" w:rsidRDefault="00547F28" w:rsidP="00547F28">
      <w:pPr>
        <w:rPr>
          <w:rStyle w:val="a4"/>
        </w:rPr>
      </w:pPr>
    </w:p>
    <w:p w:rsidR="00547F28" w:rsidRPr="00547F28" w:rsidRDefault="00547F28" w:rsidP="00547F28">
      <w:pPr>
        <w:rPr>
          <w:sz w:val="22"/>
          <w:szCs w:val="22"/>
        </w:rPr>
      </w:pPr>
      <w:r w:rsidRPr="00547F28">
        <w:rPr>
          <w:rStyle w:val="a4"/>
          <w:sz w:val="22"/>
          <w:szCs w:val="22"/>
        </w:rPr>
        <w:t>Примечание</w:t>
      </w:r>
      <w:r w:rsidRPr="00547F28">
        <w:rPr>
          <w:sz w:val="22"/>
          <w:szCs w:val="22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352B64" w:rsidRPr="00547F28" w:rsidRDefault="00352B64" w:rsidP="00352B64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47F28" w:rsidRDefault="00547F28" w:rsidP="00352B64">
      <w:pPr>
        <w:pStyle w:val="ConsPlusNormal"/>
        <w:widowControl/>
        <w:ind w:firstLine="0"/>
        <w:jc w:val="right"/>
        <w:outlineLvl w:val="1"/>
      </w:pPr>
    </w:p>
    <w:p w:rsidR="00547F28" w:rsidRDefault="00547F28" w:rsidP="00352B64">
      <w:pPr>
        <w:pStyle w:val="ConsPlusNormal"/>
        <w:widowControl/>
        <w:ind w:firstLine="0"/>
        <w:jc w:val="right"/>
        <w:outlineLvl w:val="1"/>
      </w:pPr>
    </w:p>
    <w:p w:rsidR="00547F28" w:rsidRPr="00547F28" w:rsidRDefault="00547F28" w:rsidP="00547F28">
      <w:pPr>
        <w:ind w:firstLine="698"/>
        <w:jc w:val="right"/>
      </w:pPr>
      <w:bookmarkStart w:id="6" w:name="sub_2002"/>
      <w:r w:rsidRPr="00547F28">
        <w:rPr>
          <w:rStyle w:val="a4"/>
          <w:b w:val="0"/>
        </w:rPr>
        <w:t>Таблица 2</w:t>
      </w:r>
    </w:p>
    <w:bookmarkEnd w:id="6"/>
    <w:p w:rsidR="00547F28" w:rsidRPr="00547F28" w:rsidRDefault="00547F28" w:rsidP="00547F28"/>
    <w:p w:rsidR="00547F28" w:rsidRPr="00547F28" w:rsidRDefault="00547F28" w:rsidP="00547F2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7F28">
        <w:rPr>
          <w:rFonts w:ascii="Times New Roman" w:hAnsi="Times New Roman" w:cs="Times New Roman"/>
          <w:b w:val="0"/>
          <w:sz w:val="28"/>
          <w:szCs w:val="28"/>
        </w:rPr>
        <w:t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ым дорогам </w:t>
      </w:r>
      <w:r w:rsidRPr="00547F28">
        <w:rPr>
          <w:rFonts w:ascii="Times New Roman" w:hAnsi="Times New Roman" w:cs="Times New Roman"/>
          <w:b w:val="0"/>
          <w:sz w:val="28"/>
          <w:szCs w:val="28"/>
        </w:rPr>
        <w:t>общего пользования муниципального образования Енисейский район, рассчитанных под осевую нагрузку 11,5 тонн/ось, от превышения допустимых осевых нагрузок на каждую ось транспортного средства</w:t>
      </w:r>
    </w:p>
    <w:p w:rsidR="00547F28" w:rsidRDefault="00547F28" w:rsidP="00547F28"/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85"/>
      </w:tblGrid>
      <w:tr w:rsidR="00547F28" w:rsidRPr="00547F28" w:rsidTr="00547F28">
        <w:tc>
          <w:tcPr>
            <w:tcW w:w="10146" w:type="dxa"/>
            <w:gridSpan w:val="2"/>
          </w:tcPr>
          <w:p w:rsidR="00547F28" w:rsidRPr="00547F28" w:rsidRDefault="00547F28" w:rsidP="009162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547F28" w:rsidRPr="00547F28" w:rsidTr="006516AF">
        <w:trPr>
          <w:trHeight w:val="1104"/>
        </w:trPr>
        <w:tc>
          <w:tcPr>
            <w:tcW w:w="3261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Превышение допустимых осевых нагрузок</w:t>
            </w:r>
          </w:p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на ось транспортного средства (процентов)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Размер вреда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849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10 до 20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1230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20 до 30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1839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30 до 40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2671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40 до 50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3719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50 до 60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4979</w:t>
            </w:r>
          </w:p>
        </w:tc>
      </w:tr>
      <w:tr w:rsidR="00547F28" w:rsidRPr="00547F28" w:rsidTr="00547F28">
        <w:tc>
          <w:tcPr>
            <w:tcW w:w="3261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6885" w:type="dxa"/>
          </w:tcPr>
          <w:p w:rsidR="00547F28" w:rsidRPr="00547F28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547F28">
              <w:rPr>
                <w:rFonts w:ascii="Times New Roman" w:hAnsi="Times New Roman" w:cs="Times New Roman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547F28" w:rsidRDefault="00547F28" w:rsidP="00547F28"/>
    <w:p w:rsidR="00547F28" w:rsidRPr="00547F28" w:rsidRDefault="00547F28" w:rsidP="00547F28">
      <w:pPr>
        <w:rPr>
          <w:sz w:val="24"/>
          <w:szCs w:val="24"/>
        </w:rPr>
      </w:pPr>
      <w:r w:rsidRPr="00547F28">
        <w:rPr>
          <w:rStyle w:val="a4"/>
          <w:sz w:val="24"/>
          <w:szCs w:val="24"/>
        </w:rPr>
        <w:t>Примечание</w:t>
      </w:r>
      <w:r w:rsidRPr="00547F28">
        <w:rPr>
          <w:sz w:val="24"/>
          <w:szCs w:val="24"/>
        </w:rPr>
        <w:t>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547F28" w:rsidRDefault="00547F28" w:rsidP="00547F28"/>
    <w:p w:rsidR="00547F28" w:rsidRPr="00547F28" w:rsidRDefault="00547F28" w:rsidP="00547F28">
      <w:pPr>
        <w:ind w:firstLine="698"/>
        <w:jc w:val="right"/>
      </w:pPr>
      <w:bookmarkStart w:id="7" w:name="sub_2003"/>
      <w:r w:rsidRPr="00547F28">
        <w:rPr>
          <w:rStyle w:val="a4"/>
          <w:b w:val="0"/>
        </w:rPr>
        <w:t>Таблица 3</w:t>
      </w:r>
    </w:p>
    <w:bookmarkEnd w:id="7"/>
    <w:p w:rsidR="00547F28" w:rsidRPr="00547F28" w:rsidRDefault="00547F28" w:rsidP="00547F28"/>
    <w:p w:rsidR="00547F28" w:rsidRPr="00547F28" w:rsidRDefault="00547F28" w:rsidP="00547F2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47F28">
        <w:rPr>
          <w:rFonts w:ascii="Times New Roman" w:hAnsi="Times New Roman" w:cs="Times New Roman"/>
          <w:b w:val="0"/>
          <w:sz w:val="28"/>
          <w:szCs w:val="28"/>
        </w:rPr>
        <w:t xml:space="preserve">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</w:t>
      </w:r>
      <w:r w:rsidR="003A4572" w:rsidRPr="00547F28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муниципального образования Енисейский район </w:t>
      </w:r>
      <w:r w:rsidRPr="00547F28">
        <w:rPr>
          <w:rFonts w:ascii="Times New Roman" w:hAnsi="Times New Roman" w:cs="Times New Roman"/>
          <w:b w:val="0"/>
          <w:sz w:val="28"/>
          <w:szCs w:val="28"/>
        </w:rPr>
        <w:t>от превышения допустимой для автомобильной дороги массы транспортного средства</w:t>
      </w:r>
    </w:p>
    <w:p w:rsidR="00547F28" w:rsidRPr="00547F28" w:rsidRDefault="00547F28" w:rsidP="00547F28"/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8103"/>
      </w:tblGrid>
      <w:tr w:rsidR="00547F28" w:rsidTr="00547F28">
        <w:tc>
          <w:tcPr>
            <w:tcW w:w="10525" w:type="dxa"/>
            <w:gridSpan w:val="2"/>
          </w:tcPr>
          <w:p w:rsidR="00547F28" w:rsidRPr="00C333BA" w:rsidRDefault="00547F28" w:rsidP="009162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(рублей на 100 км)</w:t>
            </w:r>
          </w:p>
        </w:tc>
      </w:tr>
      <w:tr w:rsidR="00547F28" w:rsidTr="00AA6F0A">
        <w:trPr>
          <w:trHeight w:val="828"/>
        </w:trPr>
        <w:tc>
          <w:tcPr>
            <w:tcW w:w="2422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 xml:space="preserve">Превышение </w:t>
            </w:r>
            <w:proofErr w:type="gramStart"/>
            <w:r w:rsidRPr="00C333BA">
              <w:rPr>
                <w:rFonts w:ascii="Times New Roman" w:hAnsi="Times New Roman" w:cs="Times New Roman"/>
              </w:rPr>
              <w:t>допустимой</w:t>
            </w:r>
            <w:proofErr w:type="gramEnd"/>
          </w:p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массы (процентов)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Размер вреда</w:t>
            </w:r>
          </w:p>
        </w:tc>
      </w:tr>
      <w:tr w:rsidR="00547F28" w:rsidTr="0013366A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5454</w:t>
            </w:r>
          </w:p>
        </w:tc>
      </w:tr>
      <w:tr w:rsidR="00547F28" w:rsidTr="004E634C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10 до 20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6237</w:t>
            </w:r>
          </w:p>
        </w:tc>
      </w:tr>
      <w:tr w:rsidR="00547F28" w:rsidTr="005A7263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20 до 30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7020</w:t>
            </w:r>
          </w:p>
        </w:tc>
      </w:tr>
      <w:tr w:rsidR="00547F28" w:rsidTr="00031C93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30 до 40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7802</w:t>
            </w:r>
          </w:p>
        </w:tc>
      </w:tr>
      <w:tr w:rsidR="00547F28" w:rsidTr="00950CB4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40 до 50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8585</w:t>
            </w:r>
          </w:p>
        </w:tc>
      </w:tr>
      <w:tr w:rsidR="00547F28" w:rsidTr="00B0397D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50 до 60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9368</w:t>
            </w:r>
          </w:p>
        </w:tc>
      </w:tr>
      <w:tr w:rsidR="00547F28" w:rsidTr="00547F28">
        <w:tc>
          <w:tcPr>
            <w:tcW w:w="2422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Свыше 60</w:t>
            </w:r>
          </w:p>
        </w:tc>
        <w:tc>
          <w:tcPr>
            <w:tcW w:w="8103" w:type="dxa"/>
          </w:tcPr>
          <w:p w:rsidR="00547F28" w:rsidRPr="00C333BA" w:rsidRDefault="00547F28" w:rsidP="0091627A">
            <w:pPr>
              <w:pStyle w:val="a6"/>
              <w:rPr>
                <w:rFonts w:ascii="Times New Roman" w:hAnsi="Times New Roman" w:cs="Times New Roman"/>
              </w:rPr>
            </w:pPr>
            <w:r w:rsidRPr="00C333BA">
              <w:rPr>
                <w:rFonts w:ascii="Times New Roman" w:hAnsi="Times New Roman" w:cs="Times New Roman"/>
              </w:rPr>
              <w:t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</w:t>
            </w:r>
          </w:p>
        </w:tc>
      </w:tr>
    </w:tbl>
    <w:p w:rsidR="00547F28" w:rsidRDefault="00547F28" w:rsidP="00547F28"/>
    <w:p w:rsidR="00547F28" w:rsidRPr="00C333BA" w:rsidRDefault="00547F28" w:rsidP="00547F28">
      <w:pPr>
        <w:rPr>
          <w:sz w:val="24"/>
          <w:szCs w:val="24"/>
        </w:rPr>
      </w:pPr>
      <w:bookmarkStart w:id="8" w:name="sub_200301"/>
      <w:r w:rsidRPr="00C333BA">
        <w:rPr>
          <w:rStyle w:val="a4"/>
          <w:sz w:val="24"/>
          <w:szCs w:val="24"/>
        </w:rPr>
        <w:t>Примечание</w:t>
      </w:r>
      <w:r w:rsidRPr="00C333BA">
        <w:rPr>
          <w:sz w:val="24"/>
          <w:szCs w:val="24"/>
        </w:rPr>
        <w:t xml:space="preserve">. При определении размера вреда согласно таблице 3 для дорог местного значения </w:t>
      </w:r>
      <w:r w:rsidR="003A4572" w:rsidRPr="00C333BA">
        <w:rPr>
          <w:sz w:val="24"/>
          <w:szCs w:val="24"/>
        </w:rPr>
        <w:t xml:space="preserve">Енисейского района </w:t>
      </w:r>
      <w:r w:rsidRPr="00C333BA">
        <w:rPr>
          <w:sz w:val="24"/>
          <w:szCs w:val="24"/>
        </w:rPr>
        <w:t>следует умножать значени</w:t>
      </w:r>
      <w:r w:rsidR="003A4572" w:rsidRPr="00C333BA">
        <w:rPr>
          <w:sz w:val="24"/>
          <w:szCs w:val="24"/>
        </w:rPr>
        <w:t>е размера вреда на коэффициент 0,416.</w:t>
      </w:r>
    </w:p>
    <w:bookmarkEnd w:id="8"/>
    <w:p w:rsidR="00547F28" w:rsidRDefault="00547F28" w:rsidP="00547F28"/>
    <w:sectPr w:rsidR="00547F28" w:rsidSect="00231C0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B64"/>
    <w:rsid w:val="00021D7F"/>
    <w:rsid w:val="00093F0E"/>
    <w:rsid w:val="00142DCE"/>
    <w:rsid w:val="00240887"/>
    <w:rsid w:val="00274214"/>
    <w:rsid w:val="00352B64"/>
    <w:rsid w:val="003677C3"/>
    <w:rsid w:val="003A3529"/>
    <w:rsid w:val="003A4572"/>
    <w:rsid w:val="00400752"/>
    <w:rsid w:val="00440CD7"/>
    <w:rsid w:val="00464067"/>
    <w:rsid w:val="00547F28"/>
    <w:rsid w:val="00714DE8"/>
    <w:rsid w:val="007550A7"/>
    <w:rsid w:val="007973D4"/>
    <w:rsid w:val="00887681"/>
    <w:rsid w:val="008D3585"/>
    <w:rsid w:val="00955E4B"/>
    <w:rsid w:val="00AF7061"/>
    <w:rsid w:val="00C333BA"/>
    <w:rsid w:val="00D81EB8"/>
    <w:rsid w:val="00E176D2"/>
    <w:rsid w:val="00EF1793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7F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352B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47F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47F28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47F2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47F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7">
    <w:name w:val="Гипертекстовая ссылка"/>
    <w:basedOn w:val="a4"/>
    <w:uiPriority w:val="99"/>
    <w:rsid w:val="00AF7061"/>
    <w:rPr>
      <w:rFonts w:cs="Times New Roman"/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81E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9646-FF4A-4FEB-834F-0B1DBCE3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</cp:lastModifiedBy>
  <cp:revision>20</cp:revision>
  <cp:lastPrinted>2016-10-25T07:48:00Z</cp:lastPrinted>
  <dcterms:created xsi:type="dcterms:W3CDTF">2016-10-20T05:52:00Z</dcterms:created>
  <dcterms:modified xsi:type="dcterms:W3CDTF">2016-10-25T08:21:00Z</dcterms:modified>
</cp:coreProperties>
</file>