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"/>
        <w:gridCol w:w="3685"/>
        <w:gridCol w:w="1282"/>
        <w:gridCol w:w="1702"/>
        <w:gridCol w:w="1702"/>
        <w:gridCol w:w="1943"/>
        <w:gridCol w:w="4326"/>
      </w:tblGrid>
      <w:tr w:rsidR="007C1F0C" w:rsidRPr="007C1F0C" w:rsidTr="007C1F0C">
        <w:trPr>
          <w:trHeight w:val="368"/>
        </w:trPr>
        <w:tc>
          <w:tcPr>
            <w:tcW w:w="440" w:type="dxa"/>
            <w:vMerge w:val="restart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Наименование мероприятия  (проекта</w:t>
            </w:r>
            <w:bookmarkStart w:id="0" w:name="_GoBack"/>
            <w:bookmarkEnd w:id="0"/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2" w:type="dxa"/>
            <w:vMerge w:val="restart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404" w:type="dxa"/>
            <w:gridSpan w:val="2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Финансовое обеспечение</w:t>
            </w:r>
          </w:p>
        </w:tc>
        <w:tc>
          <w:tcPr>
            <w:tcW w:w="1943" w:type="dxa"/>
            <w:vMerge w:val="restart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Ответственный исполнитель/</w:t>
            </w: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br/>
              <w:t xml:space="preserve">Соисполнители </w:t>
            </w:r>
          </w:p>
        </w:tc>
        <w:tc>
          <w:tcPr>
            <w:tcW w:w="4326" w:type="dxa"/>
            <w:vMerge w:val="restart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Краткое описание. Ожидаемый результат </w:t>
            </w: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br/>
              <w:t>(качественные и количественные показатели)</w:t>
            </w:r>
          </w:p>
        </w:tc>
      </w:tr>
      <w:tr w:rsidR="007C1F0C" w:rsidRPr="007C1F0C" w:rsidTr="007C1F0C">
        <w:trPr>
          <w:trHeight w:val="1849"/>
        </w:trPr>
        <w:tc>
          <w:tcPr>
            <w:tcW w:w="0" w:type="auto"/>
            <w:vMerge/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объем финансирования, тыс. рублей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источник финансирования (местный бюджет, краевой бюджет, федеральный бюджет, внебюджетные источники)</w:t>
            </w:r>
          </w:p>
        </w:tc>
        <w:tc>
          <w:tcPr>
            <w:tcW w:w="0" w:type="auto"/>
            <w:vMerge/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C1F0C" w:rsidRPr="007C1F0C" w:rsidTr="007C1F0C">
        <w:trPr>
          <w:trHeight w:val="1249"/>
        </w:trPr>
        <w:tc>
          <w:tcPr>
            <w:tcW w:w="440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Строительство лесоперерабатывающего производства в с. </w:t>
            </w:r>
            <w:proofErr w:type="spellStart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Плотбище</w:t>
            </w:r>
            <w:proofErr w:type="spellEnd"/>
          </w:p>
        </w:tc>
        <w:tc>
          <w:tcPr>
            <w:tcW w:w="128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121 000,00  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3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ООО «</w:t>
            </w:r>
            <w:proofErr w:type="spellStart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ТрансСервис</w:t>
            </w:r>
            <w:proofErr w:type="spellEnd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326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объемы производства: лесозаготовка - 40 тыс. куб. м., лесопереработка (произведено пиломатериалов) - 26 куб. м.; новые рабочие места - 10 человек</w:t>
            </w:r>
          </w:p>
        </w:tc>
      </w:tr>
      <w:tr w:rsidR="007C1F0C" w:rsidRPr="007C1F0C" w:rsidTr="007C1F0C">
        <w:trPr>
          <w:trHeight w:val="1937"/>
        </w:trPr>
        <w:tc>
          <w:tcPr>
            <w:tcW w:w="440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Создание целлюлозного комбината</w:t>
            </w:r>
          </w:p>
        </w:tc>
        <w:tc>
          <w:tcPr>
            <w:tcW w:w="128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2020-2029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98 700 000,00  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3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ООО «Сегежа групп»</w:t>
            </w:r>
          </w:p>
        </w:tc>
        <w:tc>
          <w:tcPr>
            <w:tcW w:w="4326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годовой выпуск продукции: целлюлоза сульфатная хвойная беленая - 462 тыс. тонн, целлюлоза сульфатная лиственная беленая - 434,3 тыс. тонн, масло </w:t>
            </w:r>
            <w:proofErr w:type="spellStart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талловое</w:t>
            </w:r>
            <w:proofErr w:type="spellEnd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нерафинированное - 32,6 тыс. тонн, скипидар сульфатный очищенный - 4,6 тыс. тонн; новые рабочие места - 2436 человек</w:t>
            </w:r>
          </w:p>
        </w:tc>
      </w:tr>
      <w:tr w:rsidR="007C1F0C" w:rsidRPr="007C1F0C" w:rsidTr="007C1F0C">
        <w:trPr>
          <w:trHeight w:val="1473"/>
        </w:trPr>
        <w:tc>
          <w:tcPr>
            <w:tcW w:w="440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Расширение действующего бизнеса и приобретения собственного грузового автопарка</w:t>
            </w:r>
          </w:p>
        </w:tc>
        <w:tc>
          <w:tcPr>
            <w:tcW w:w="128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179 000,00  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КБ, МБ, внебюджетные источники</w:t>
            </w:r>
          </w:p>
        </w:tc>
        <w:tc>
          <w:tcPr>
            <w:tcW w:w="1943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ООО «БЕСЛЕРАВТО»</w:t>
            </w:r>
          </w:p>
        </w:tc>
        <w:tc>
          <w:tcPr>
            <w:tcW w:w="4326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приобретено 12 грузовых седельных тягачей, 4 полуприцепов-</w:t>
            </w:r>
            <w:proofErr w:type="spellStart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сортиментовозов</w:t>
            </w:r>
            <w:proofErr w:type="spellEnd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; новые рабочие места - 24 человека</w:t>
            </w:r>
          </w:p>
        </w:tc>
      </w:tr>
      <w:tr w:rsidR="007C1F0C" w:rsidRPr="007C1F0C" w:rsidTr="007C1F0C">
        <w:trPr>
          <w:trHeight w:val="992"/>
        </w:trPr>
        <w:tc>
          <w:tcPr>
            <w:tcW w:w="440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Строительство причала под </w:t>
            </w:r>
          </w:p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Абалаково</w:t>
            </w:r>
            <w:proofErr w:type="spellEnd"/>
          </w:p>
        </w:tc>
        <w:tc>
          <w:tcPr>
            <w:tcW w:w="128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2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3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ООО «Уральская транспортная компания»</w:t>
            </w:r>
          </w:p>
        </w:tc>
        <w:tc>
          <w:tcPr>
            <w:tcW w:w="4326" w:type="dxa"/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7C1F0C" w:rsidRPr="007C1F0C" w:rsidRDefault="007C1F0C" w:rsidP="007C1F0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</w:tbl>
    <w:p w:rsidR="00FE3D70" w:rsidRPr="007C1F0C" w:rsidRDefault="007C1F0C">
      <w:pPr>
        <w:rPr>
          <w:rFonts w:ascii="Times New Roman" w:hAnsi="Times New Roman" w:cs="Times New Roman"/>
          <w:b/>
          <w:sz w:val="32"/>
          <w:szCs w:val="32"/>
        </w:rPr>
      </w:pPr>
      <w:r w:rsidRPr="007C1F0C">
        <w:rPr>
          <w:rFonts w:ascii="Times New Roman" w:hAnsi="Times New Roman" w:cs="Times New Roman"/>
          <w:b/>
          <w:sz w:val="32"/>
          <w:szCs w:val="32"/>
        </w:rPr>
        <w:t>Реализуемые инвестиционные проекты</w:t>
      </w:r>
    </w:p>
    <w:sectPr w:rsidR="00FE3D70" w:rsidRPr="007C1F0C" w:rsidSect="007C1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C2" w:rsidRDefault="00091EC2" w:rsidP="007C1F0C">
      <w:pPr>
        <w:spacing w:after="0" w:line="240" w:lineRule="auto"/>
      </w:pPr>
      <w:r>
        <w:separator/>
      </w:r>
    </w:p>
  </w:endnote>
  <w:endnote w:type="continuationSeparator" w:id="0">
    <w:p w:rsidR="00091EC2" w:rsidRDefault="00091EC2" w:rsidP="007C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C2" w:rsidRDefault="00091EC2" w:rsidP="007C1F0C">
      <w:pPr>
        <w:spacing w:after="0" w:line="240" w:lineRule="auto"/>
      </w:pPr>
      <w:r>
        <w:separator/>
      </w:r>
    </w:p>
  </w:footnote>
  <w:footnote w:type="continuationSeparator" w:id="0">
    <w:p w:rsidR="00091EC2" w:rsidRDefault="00091EC2" w:rsidP="007C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3"/>
    <w:rsid w:val="00091EC2"/>
    <w:rsid w:val="002A5633"/>
    <w:rsid w:val="007C1F0C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00E5"/>
  <w15:chartTrackingRefBased/>
  <w15:docId w15:val="{C7B192C5-94E0-4450-A86A-AE0E1AE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F0C"/>
  </w:style>
  <w:style w:type="paragraph" w:styleId="a6">
    <w:name w:val="footer"/>
    <w:basedOn w:val="a"/>
    <w:link w:val="a7"/>
    <w:uiPriority w:val="99"/>
    <w:unhideWhenUsed/>
    <w:rsid w:val="007C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Филипенкова Евгения Михайловна</dc:creator>
  <cp:keywords/>
  <dc:description/>
  <cp:lastModifiedBy>Филипенкова Евгения Михайловна</cp:lastModifiedBy>
  <cp:revision>2</cp:revision>
  <dcterms:created xsi:type="dcterms:W3CDTF">2025-01-17T05:37:00Z</dcterms:created>
  <dcterms:modified xsi:type="dcterms:W3CDTF">2025-01-17T05:39:00Z</dcterms:modified>
</cp:coreProperties>
</file>