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A7" w:rsidRPr="000F23A7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П</w:t>
      </w:r>
      <w:r w:rsidR="00A63907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ояснительная записка к докладу Г</w:t>
      </w: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лавы местной администрации Енисейского муниципального района</w:t>
      </w:r>
    </w:p>
    <w:p w:rsidR="000F23A7" w:rsidRPr="001D31A8" w:rsidRDefault="000F23A7" w:rsidP="00C00AA0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 достигнутых значениях показателей для оценки 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эффективности деятельности органов местного самоуправления </w:t>
      </w: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br/>
        <w:t>городских округов</w:t>
      </w:r>
      <w:proofErr w:type="gramEnd"/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BB5232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и муниципальных районов </w:t>
      </w:r>
      <w:r w:rsidR="00BB5232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br/>
        <w:t>за 202</w:t>
      </w:r>
      <w:r w:rsidR="00F4365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2</w:t>
      </w: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год и их планируем</w:t>
      </w:r>
      <w:r w:rsidR="00C00AA0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ых значениях на </w:t>
      </w:r>
      <w:r w:rsidR="00F4365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трех</w:t>
      </w:r>
      <w:r w:rsidR="00C00AA0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летний период</w:t>
      </w: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0F23A7" w:rsidRPr="001D31A8" w:rsidRDefault="000F23A7" w:rsidP="00BB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Экономическое развитие</w:t>
      </w:r>
    </w:p>
    <w:p w:rsidR="000F23A7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CD46BD" w:rsidRPr="001D31A8" w:rsidRDefault="00CD46BD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F23A7" w:rsidRPr="001D31A8" w:rsidRDefault="000F23A7" w:rsidP="000F23A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Число субъектов малого и среднего предпринимательства</w:t>
      </w:r>
    </w:p>
    <w:p w:rsidR="000F23A7" w:rsidRPr="001D31A8" w:rsidRDefault="000F23A7" w:rsidP="000F23A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BA0F69" w:rsidRDefault="00BA0F69" w:rsidP="00BA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1 января 2023 года, на основании данных Единого реестра малого и среднего предпринимательства, ведение которого осуществляет Федеральная налоговая служба России,  число субъектов малого и среднего бизнеса составило 476 единиц. В том числе 79 организаций, одна из которых относится к категории средних – ООО «Форте» и  397 индивидуальных предпринимателей, осуществляющих свою деятельность без образования юридического лица. Индивидуальных предпринимателей – Глав крестьянско-фермерских хозяйств 4 человека и 1 крестьянское (фермерское) хозяйство «Смородинское подворье». </w:t>
      </w:r>
      <w:r>
        <w:rPr>
          <w:rFonts w:ascii="Arial CYR" w:hAnsi="Arial CYR" w:cs="Arial CYR"/>
          <w:sz w:val="28"/>
          <w:szCs w:val="28"/>
        </w:rPr>
        <w:t xml:space="preserve"> </w:t>
      </w:r>
    </w:p>
    <w:p w:rsidR="00BA0F69" w:rsidRDefault="00BA0F69" w:rsidP="00BA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1 января 2023 года, число субъектов малого и среднего предпринимательства,  в расчете на 10000 человек населения, увеличилось на 2,34 %  (по сравнению с 2021 годом) вследствие увеличения числа субъектов малого и среднего предпринимательства – на 1,71% и  уменьшения численности населения на 0,62%. 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F6456" w:rsidRPr="001D31A8" w:rsidRDefault="000F23A7" w:rsidP="00CD46B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среднесписочной числ</w:t>
      </w:r>
      <w:r w:rsidR="00CD46BD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енности работников (без внешних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3F6456" w:rsidRDefault="003F6456" w:rsidP="003F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46BD" w:rsidRDefault="00CD46BD" w:rsidP="00CD4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27,87%. По сравнению с 2021 годом, величина данного показателя увеличилась на 13,48%. </w:t>
      </w:r>
    </w:p>
    <w:p w:rsidR="00CD46BD" w:rsidRDefault="00CD46BD" w:rsidP="00CD46B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без внешних совместителей) всех предприятий и организаций произошло вследствие снижения среднегодовой численности населения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0,62% и уменьшения среднесписочной численности работников крупных  предприятий и некоммерческих организаций района на 14%.</w:t>
      </w:r>
      <w:proofErr w:type="gramEnd"/>
    </w:p>
    <w:p w:rsidR="00CD46BD" w:rsidRDefault="00CD46BD" w:rsidP="00CD4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Расчетная таблица к показателям</w:t>
      </w:r>
    </w:p>
    <w:p w:rsidR="00CD46BD" w:rsidRDefault="00CD46BD" w:rsidP="00CD4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21"/>
        <w:gridCol w:w="1221"/>
        <w:gridCol w:w="1221"/>
        <w:gridCol w:w="1221"/>
        <w:gridCol w:w="1221"/>
      </w:tblGrid>
      <w:tr w:rsidR="00CD46BD" w:rsidRPr="00B64FB9" w:rsidTr="00CD46BD">
        <w:trPr>
          <w:trHeight w:val="315"/>
        </w:trPr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Наименование показателя и единицы измерения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Значения показателя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2021 факт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2022 факт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2023 оценка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2024 прогноз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64FB9">
              <w:rPr>
                <w:rFonts w:ascii="Times New Roman CYR" w:hAnsi="Times New Roman CYR" w:cs="Times New Roman CYR"/>
                <w:b/>
              </w:rPr>
              <w:t>2025 прогноз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1. Количество малых и микропредприятий, 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78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2. Количество средних предприятий, 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3. Количество индивидуальных предпринимателей, 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371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3.1. в том числе количество крестьянско-фермерских хозяйств, 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4. Численность постоянного населения муниципального, городского округа (муниципального района) на конец отчетного года,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21 600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21 466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21 075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20 690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20309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216,67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221,75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217,32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218,95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221,58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704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510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286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276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7.1. в том числе в крестьянско-фермерских хозяйствах,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154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64FB9">
              <w:rPr>
                <w:rFonts w:ascii="Times New Roman CYR" w:hAnsi="Times New Roman CYR" w:cs="Times New Roman CYR"/>
              </w:rPr>
              <w:t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4244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3650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3639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3610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color w:val="000000"/>
              </w:rPr>
              <w:t>3558</w:t>
            </w:r>
          </w:p>
        </w:tc>
      </w:tr>
      <w:tr w:rsidR="00CD46BD" w:rsidRPr="00B64FB9" w:rsidTr="00CD46BD">
        <w:trPr>
          <w:trHeight w:val="37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BD" w:rsidRPr="00B64FB9" w:rsidRDefault="00CD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</w:rPr>
              <w:t xml:space="preserve">10. </w:t>
            </w:r>
            <w:proofErr w:type="gramStart"/>
            <w:r w:rsidRPr="00B64FB9">
              <w:rPr>
                <w:rFonts w:ascii="Times New Roman CYR" w:hAnsi="Times New Roman CYR" w:cs="Times New Roman CYR"/>
                <w:b/>
                <w:bCs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 w:rsidRPr="00B64FB9">
              <w:rPr>
                <w:rFonts w:ascii="Times New Roman CYR" w:hAnsi="Times New Roman CYR" w:cs="Times New Roman CYR"/>
                <w:b/>
                <w:bCs/>
              </w:rPr>
              <w:lastRenderedPageBreak/>
              <w:t>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24,56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27,87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27,59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27,61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BD" w:rsidRPr="00B64FB9" w:rsidRDefault="00CD46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64FB9">
              <w:rPr>
                <w:rFonts w:ascii="Times New Roman CYR" w:hAnsi="Times New Roman CYR" w:cs="Times New Roman CYR"/>
                <w:b/>
                <w:bCs/>
                <w:color w:val="000000"/>
              </w:rPr>
              <w:t>27,81</w:t>
            </w:r>
          </w:p>
        </w:tc>
      </w:tr>
    </w:tbl>
    <w:p w:rsidR="00CD46BD" w:rsidRDefault="00CD46BD" w:rsidP="00DB45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23A7" w:rsidRPr="001D31A8" w:rsidRDefault="000F23A7" w:rsidP="00D42EE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Объем инвестиций в основной капитал (за исключением бюджетных средств) в расчете на 1 человека</w:t>
      </w:r>
    </w:p>
    <w:p w:rsidR="000F23A7" w:rsidRPr="001D31A8" w:rsidRDefault="000F23A7" w:rsidP="000F23A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(за исключением бюджетных средств) в расчете на 1 человека населения в 2022 году увеличился на 78,5% (по сравнению с 2021 годом), и составил 12 003,6  рублей.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за счет бюджетных средств в 2022 году увеличился на 150,1% (по сравнению с 2021 годом), и составил 172 449,0 тыс. рублей.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В отчетном 2022 году на территории Енисейского района реализовывались следующие инвестиционные проекты: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строительство школы на 80 учащихся с дошкольными группами на 35 мест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с. Майское Енисейского района;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автомобильной дороги "Обход Высокогорского" в Енисейском районе (1 очередь строительства);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автомобильной дороги "271 км автодороги "Красноярск - Енисейск" - Высокогорский" в Енисейском районе (1 очередь строительства);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автомобильной дороги «Енисейск - Высокогорский» на участке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27 – км 57 в Енисейском районе (I очередь). I этап;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автомобильной дороги Епишино – Северо-Енисейский на участке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0 + 000 – км 8 + 000 в Енисейском районе (1 этап);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автодорожного моста через р. Енисей в районе п. Высокогорский в Енисейском районе;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моста через р. Кемь на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9 + 750 автомобильной дороги Енисейск – Пировское в Енисейском районе.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В плановом периоде 2023-2025 гг. на территории Енисейского района рост объема инвестиций связан с реализацией следующих инвестиционных проектов: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строительство досугового центра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с. Ярцево Енисейского района;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врачебной амбулатории в с. Абалаково Енисейского района (КГБУЗ "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Енисейская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РБ");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врачебной амбулатории в с. Верхнепашино Енисейского района (КГБУЗ "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Енисейская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РБ");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врачебной амбулатории в с. Озерное Енисейского района (КГБУЗ "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Енисейская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РБ");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автомобильной дороги «Енисейск - Высокогорский» на участке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27 – км 57 в Енисейском районе (I очередь). I этап;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lastRenderedPageBreak/>
        <w:t xml:space="preserve">- реконструкция автомобильной дороги «Енисейск - Высокогорский» на участке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27 – км 57 в Енисейском районе (I очередь). II этап;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строительство автомобильной дороги Высокогорский – Мотыгино на участке Высокогорский – Татарка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Енисейском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B5753B">
        <w:rPr>
          <w:rFonts w:ascii="Times New Roman CYR" w:hAnsi="Times New Roman CYR" w:cs="Times New Roman CYR"/>
          <w:sz w:val="28"/>
          <w:szCs w:val="28"/>
        </w:rPr>
        <w:t>Мотыгинском</w:t>
      </w:r>
      <w:proofErr w:type="spellEnd"/>
      <w:r w:rsidRPr="00B5753B">
        <w:rPr>
          <w:rFonts w:ascii="Times New Roman CYR" w:hAnsi="Times New Roman CYR" w:cs="Times New Roman CYR"/>
          <w:sz w:val="28"/>
          <w:szCs w:val="28"/>
        </w:rPr>
        <w:t xml:space="preserve"> районах; 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автомобильной дороги Епишино - Северо-Енисейский на участке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0 + 000 - км 8 + 000 в Енисейском районе (1 этап);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>- строительство автодорожного моста через р. Енисей в районе п. Высокогорский Енисейского района. Срок реализации проекта 2020-2023 гг.;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реконструкция моста через р. Кемь на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км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9 + 750 автомобильной дороги Енисейск - Пировское в Енисейском районе;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- «Создание целлюлозного комбината в Енисейском районе Красноярского края» (ООО "Тайга").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Общий объем инвестиций: 98,4 млрд. рублей (2023 год – 9,7 млн. руб., 2024 год – 100,0 млн. руб., 2025 год – 204,5 млн. руб.).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Период реализации проекта: с 2020 по 2029 год.</w:t>
      </w:r>
    </w:p>
    <w:p w:rsidR="00B5753B" w:rsidRDefault="00B5753B" w:rsidP="00B575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753B">
        <w:rPr>
          <w:rFonts w:ascii="Times New Roman CYR" w:hAnsi="Times New Roman CYR" w:cs="Times New Roman CYR"/>
          <w:b/>
          <w:bCs/>
          <w:sz w:val="28"/>
          <w:szCs w:val="28"/>
        </w:rPr>
        <w:t>Объем инвестиций в основной капитал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1276"/>
        <w:gridCol w:w="1275"/>
        <w:gridCol w:w="1418"/>
        <w:gridCol w:w="1417"/>
        <w:gridCol w:w="1276"/>
      </w:tblGrid>
      <w:tr w:rsidR="00B5753B" w:rsidRPr="00B5753B" w:rsidTr="00B5753B">
        <w:trPr>
          <w:trHeight w:val="28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Наименование показателя и единицы измерения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Значения показателя</w:t>
            </w:r>
          </w:p>
        </w:tc>
      </w:tr>
      <w:tr w:rsidR="00B5753B" w:rsidRPr="00B5753B" w:rsidTr="00B5753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2021 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2022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2023 оценка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2024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B0610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B0610">
              <w:rPr>
                <w:rFonts w:ascii="Times New Roman CYR" w:hAnsi="Times New Roman CYR" w:cs="Times New Roman CYR"/>
                <w:b/>
              </w:rPr>
              <w:t>2025 прогноз</w:t>
            </w:r>
          </w:p>
        </w:tc>
      </w:tr>
      <w:tr w:rsidR="00B5753B" w:rsidRPr="00B5753B" w:rsidTr="00B5753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215 339,00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432 423,00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473 257,46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589 980,23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720 449,18</w:t>
            </w:r>
          </w:p>
        </w:tc>
      </w:tr>
      <w:tr w:rsidR="00B5753B" w:rsidRPr="00B5753B" w:rsidTr="00B5753B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200,81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122,11</w:t>
            </w:r>
          </w:p>
        </w:tc>
      </w:tr>
      <w:tr w:rsidR="00B5753B" w:rsidRPr="00B5753B" w:rsidTr="00B575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1.2. Индекс-дефлятор,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105,30</w:t>
            </w:r>
          </w:p>
        </w:tc>
      </w:tr>
      <w:tr w:rsidR="00B5753B" w:rsidRPr="00B5753B" w:rsidTr="00B5753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171,05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102,09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5753B">
              <w:rPr>
                <w:rFonts w:ascii="Times New Roman CYR" w:hAnsi="Times New Roman CYR" w:cs="Times New Roman CYR"/>
                <w:i/>
                <w:iCs/>
              </w:rPr>
              <w:t>115,97</w:t>
            </w:r>
          </w:p>
        </w:tc>
      </w:tr>
      <w:tr w:rsidR="00B5753B" w:rsidRPr="00B5753B" w:rsidTr="00B5753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68 942,00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172 449,00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184 865,33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195 402,65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205 758,99</w:t>
            </w:r>
          </w:p>
        </w:tc>
      </w:tr>
      <w:tr w:rsidR="00B5753B" w:rsidRPr="00B5753B" w:rsidTr="00B5753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146 397,00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259 974,00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288 392,13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394 577,58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514 690,19</w:t>
            </w:r>
          </w:p>
        </w:tc>
      </w:tr>
      <w:tr w:rsidR="00B5753B" w:rsidRPr="00B5753B" w:rsidTr="00B5753B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 xml:space="preserve">4. </w:t>
            </w:r>
            <w:r w:rsidRPr="00B5753B">
              <w:rPr>
                <w:rFonts w:ascii="Times New Roman CYR" w:hAnsi="Times New Roman CYR" w:cs="Times New Roman CYR"/>
                <w:b/>
                <w:bCs/>
              </w:rPr>
              <w:t xml:space="preserve">Среднегодовая </w:t>
            </w:r>
            <w:r w:rsidRPr="00B5753B">
              <w:rPr>
                <w:rFonts w:ascii="Times New Roman CYR" w:hAnsi="Times New Roman CYR" w:cs="Times New Roman CYR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21 774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21 658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21 271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20 883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5753B">
              <w:rPr>
                <w:rFonts w:ascii="Times New Roman CYR" w:hAnsi="Times New Roman CYR" w:cs="Times New Roman CYR"/>
              </w:rPr>
              <w:t>20 450</w:t>
            </w:r>
          </w:p>
        </w:tc>
      </w:tr>
      <w:tr w:rsidR="00B5753B" w:rsidRPr="00B5753B" w:rsidTr="00B5753B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lastRenderedPageBreak/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t>6 723,48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t>12 003,60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t>13 558,00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t>18 894,68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</w:rPr>
              <w:t>25 168,22</w:t>
            </w:r>
          </w:p>
        </w:tc>
      </w:tr>
    </w:tbl>
    <w:p w:rsidR="00F43654" w:rsidRPr="00C62AC4" w:rsidRDefault="00F43654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Доля площади земельных участков, являющихся объектами </w:t>
      </w:r>
      <w:r w:rsidR="00AC2877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 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налогообложения земельным налогом, в общей площади территории городского округа (муниципального района)</w:t>
      </w:r>
    </w:p>
    <w:p w:rsidR="000F23A7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 xml:space="preserve">Показатель по строке 4 «Доля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района)» составляет за 2022 год </w:t>
      </w:r>
      <w:r w:rsidRPr="00B5753B">
        <w:rPr>
          <w:rFonts w:ascii="Times New Roman CYR" w:hAnsi="Times New Roman CYR" w:cs="Times New Roman CYR"/>
          <w:b/>
          <w:bCs/>
          <w:sz w:val="28"/>
          <w:szCs w:val="28"/>
        </w:rPr>
        <w:t>0,38%</w:t>
      </w:r>
      <w:r w:rsidRPr="00B5753B">
        <w:rPr>
          <w:rFonts w:ascii="Times New Roman CYR" w:hAnsi="Times New Roman CYR" w:cs="Times New Roman CYR"/>
          <w:sz w:val="28"/>
          <w:szCs w:val="28"/>
        </w:rPr>
        <w:t xml:space="preserve"> (Площадь земельных участков, являющихся объектами налогообложения земельным налогом в 2022 году составляет </w:t>
      </w:r>
      <w:r w:rsidRPr="00B5753B">
        <w:rPr>
          <w:rFonts w:ascii="Times New Roman CYR" w:hAnsi="Times New Roman CYR" w:cs="Times New Roman CYR"/>
          <w:b/>
          <w:bCs/>
          <w:sz w:val="28"/>
          <w:szCs w:val="28"/>
        </w:rPr>
        <w:t xml:space="preserve">40477,65 </w:t>
      </w:r>
      <w:r w:rsidRPr="00B5753B">
        <w:rPr>
          <w:rFonts w:ascii="Times New Roman CYR" w:hAnsi="Times New Roman CYR" w:cs="Times New Roman CYR"/>
          <w:sz w:val="28"/>
          <w:szCs w:val="28"/>
        </w:rPr>
        <w:t xml:space="preserve">га,  общая площадь территории муниципального, городского округа, муниципального района составляет </w:t>
      </w:r>
      <w:r w:rsidRPr="00B5753B">
        <w:rPr>
          <w:rFonts w:ascii="Times New Roman CYR" w:hAnsi="Times New Roman CYR" w:cs="Times New Roman CYR"/>
          <w:b/>
          <w:bCs/>
          <w:sz w:val="28"/>
          <w:szCs w:val="28"/>
        </w:rPr>
        <w:t xml:space="preserve">10614320,00 </w:t>
      </w:r>
      <w:r w:rsidRPr="00B5753B">
        <w:rPr>
          <w:rFonts w:ascii="Times New Roman CYR" w:hAnsi="Times New Roman CYR" w:cs="Times New Roman CYR"/>
          <w:sz w:val="28"/>
          <w:szCs w:val="28"/>
        </w:rPr>
        <w:t>га, расчет показателя: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Ds</w:t>
      </w:r>
      <w:proofErr w:type="spellEnd"/>
      <w:r w:rsidRPr="00B5753B">
        <w:rPr>
          <w:rFonts w:ascii="Times New Roman CYR" w:hAnsi="Times New Roman CYR" w:cs="Times New Roman CYR"/>
          <w:sz w:val="28"/>
          <w:szCs w:val="28"/>
        </w:rPr>
        <w:t>=</w:t>
      </w:r>
      <w:proofErr w:type="spellStart"/>
      <w:r w:rsidRPr="00B5753B">
        <w:rPr>
          <w:rFonts w:ascii="Times New Roman CYR" w:hAnsi="Times New Roman CYR" w:cs="Times New Roman CYR"/>
          <w:sz w:val="28"/>
          <w:szCs w:val="28"/>
        </w:rPr>
        <w:t>Sh</w:t>
      </w:r>
      <w:proofErr w:type="spellEnd"/>
      <w:r w:rsidRPr="00B5753B">
        <w:rPr>
          <w:rFonts w:ascii="Times New Roman CYR" w:hAnsi="Times New Roman CYR" w:cs="Times New Roman CYR"/>
          <w:sz w:val="28"/>
          <w:szCs w:val="28"/>
        </w:rPr>
        <w:t xml:space="preserve">/S*100= 40477,65/10614320,00*100=0,38%), на плановый период 2023-2025 гг., также 0,38%.     </w:t>
      </w:r>
      <w:proofErr w:type="gramEnd"/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5753B">
        <w:rPr>
          <w:rFonts w:ascii="Times New Roman CYR" w:hAnsi="Times New Roman CYR" w:cs="Times New Roman CYR"/>
          <w:sz w:val="28"/>
          <w:szCs w:val="28"/>
        </w:rPr>
        <w:t xml:space="preserve">Площадь </w:t>
      </w:r>
      <w:proofErr w:type="gramStart"/>
      <w:r w:rsidRPr="00B5753B">
        <w:rPr>
          <w:rFonts w:ascii="Times New Roman CYR" w:hAnsi="Times New Roman CYR" w:cs="Times New Roman CYR"/>
          <w:sz w:val="28"/>
          <w:szCs w:val="28"/>
        </w:rPr>
        <w:t>земельных участков, являющихся объектами налогообложения земельным налогом увеличилась</w:t>
      </w:r>
      <w:proofErr w:type="gramEnd"/>
      <w:r w:rsidRPr="00B5753B">
        <w:rPr>
          <w:rFonts w:ascii="Times New Roman CYR" w:hAnsi="Times New Roman CYR" w:cs="Times New Roman CYR"/>
          <w:sz w:val="28"/>
          <w:szCs w:val="28"/>
        </w:rPr>
        <w:t xml:space="preserve"> за 2022 год на 23,55 га в связи с продажей земельных участков в частную собственность, что не повлияло на изменение доли площади земельных участков, являющихся объектами налогообложения земельным налогом, в общей площади территории Енисейского района. </w:t>
      </w:r>
    </w:p>
    <w:p w:rsidR="00B5753B" w:rsidRP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851"/>
        <w:gridCol w:w="850"/>
        <w:gridCol w:w="851"/>
        <w:gridCol w:w="1001"/>
        <w:gridCol w:w="1125"/>
        <w:gridCol w:w="1134"/>
      </w:tblGrid>
      <w:tr w:rsidR="00B5753B" w:rsidRPr="00B5753B" w:rsidTr="00B5753B">
        <w:trPr>
          <w:trHeight w:val="30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53B" w:rsidRPr="00B5753B" w:rsidRDefault="00B5753B" w:rsidP="00B64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Показатели эффективности деятельности ОМСУ (Указ президента 607)</w:t>
            </w:r>
          </w:p>
        </w:tc>
      </w:tr>
      <w:tr w:rsidR="00B5753B" w:rsidTr="00B5753B">
        <w:trPr>
          <w:trHeight w:val="30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Енисейский муниципальный район</w:t>
            </w:r>
          </w:p>
        </w:tc>
      </w:tr>
      <w:tr w:rsidR="00B5753B" w:rsidTr="00B64FB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B5753B" w:rsidTr="00B64FB9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2020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2021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2022 Отчет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2023 Оценка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2024 Прогноз 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b/>
                <w:bCs/>
                <w:color w:val="000000"/>
              </w:rPr>
              <w:t>2025 Прогноз 2 вариант</w:t>
            </w:r>
          </w:p>
        </w:tc>
      </w:tr>
      <w:tr w:rsidR="00B5753B" w:rsidTr="00B64FB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 xml:space="preserve">Экономическое развитие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B5753B" w:rsidTr="00B64FB9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6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 (муниципального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3B" w:rsidRPr="00B5753B" w:rsidRDefault="00B5753B" w:rsidP="00B5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B5753B">
              <w:rPr>
                <w:rFonts w:ascii="Times New Roman CYR" w:hAnsi="Times New Roman CYR" w:cs="Times New Roman CYR"/>
                <w:color w:val="000000"/>
              </w:rPr>
              <w:t>0,38 </w:t>
            </w:r>
          </w:p>
        </w:tc>
      </w:tr>
    </w:tbl>
    <w:p w:rsidR="000F23A7" w:rsidRDefault="00B5753B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 </w:t>
      </w:r>
      <w:r w:rsidR="000F23A7"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0F23A7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Доля прибыльных сельскохозяйственных </w:t>
      </w:r>
      <w:proofErr w:type="gramStart"/>
      <w:r w:rsidR="000F23A7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организаций</w:t>
      </w:r>
      <w:proofErr w:type="gramEnd"/>
      <w:r w:rsidR="000F23A7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в общем их числе</w:t>
      </w:r>
    </w:p>
    <w:p w:rsidR="00B5753B" w:rsidRDefault="00CC3E25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ab/>
      </w:r>
    </w:p>
    <w:p w:rsidR="00B5753B" w:rsidRDefault="00D23D24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реестра субъектов агропромышленного комплекса Красноярского края н</w:t>
      </w:r>
      <w:r w:rsidR="00B5753B">
        <w:rPr>
          <w:rFonts w:ascii="Times New Roman CYR" w:hAnsi="Times New Roman CYR" w:cs="Times New Roman CYR"/>
          <w:sz w:val="28"/>
          <w:szCs w:val="28"/>
        </w:rPr>
        <w:t xml:space="preserve">а территории Енисейского района в 2022 году осуществляли деятельность 3 сельскохозяйственных предприятия, в 2021 году – 3, в 2020 – 3. В 2022 году все 3 сельскохозяйственные организации – микропредприятия. 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по данным годовой отчетности сельскохозяйственных товаропроизводителей 2 предприятия прибыльные и 1 – убыточное; в 2021 году сельхозпредприятий прибыльных – 2, убыточное – 1; в 2020 все 3 сельскохозяйственных предприятия – прибыльные. В 2023 – 2025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гг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убыточных сельскохозяйственных предприятий не планируется.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Прибыльные организации – ООО «Анциферовское», ООО «Потапово», убыточное – СПК им. Калинина. Убыточный финансовый результат у СПК им. Калинина сложился вследствие понесенных прочих расходов кооператива (штрафы, пени, судебные расходы). 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Поступления налогов в бюджеты всех уровней в 2022 году составили 1302 тыс.руб., 2021 – 1385 тыс.руб., 2020 – 1936 тыс.руб. Плательщиками ЕСХН являются все 3 предприятия.  Среднегодовая численность человек в 2022 году – 24, в 2021 – 23, в 2020 – 24. Среднемесячная заработная плата в 2022 году составила 20302,7 руб. 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Выручка от реализации продукции, работ, услуг в 2022 году снизилась по сравнению с 2021 годом на 8912 тыс.руб. (-22,9%). Чистая прибыль составила 239 тыс.руб., что ниже уровня прошлого года на 899 тыс.руб. (-79%). Дебиторская задолженность по сравнению с прошлым годом сократилась на 12,6%, кредиторская задолженность снизилась на 38,3%. Получено всего бюджетных средств в 2022 году – 3269 тыс.руб., что выше уровня прошлого года на 1076 тыс. руб. Рентабельность производства в 2022 году составила 0,8%, в 2021 году составила 2,9%.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со снижением объемов реализации продукции растениеводства (сено) и животноводства (скот КРС), а также снижением средней цены реализации продукции растениеводства (овса, сена) и животноводства (сырого молока) 2022 года по отношению к 2021 году, выручка 2022 года ниже выручки 2021 года. Низкий показатель рентабельности производства исходит из того, что выручка снизилась, а расходы организаций на содержание основных средств, заработную плату работникам, оплату ГСМ, электроэнергию и т.п. остались на уровне. </w:t>
      </w:r>
    </w:p>
    <w:p w:rsidR="00C62AC4" w:rsidRDefault="00B5753B" w:rsidP="00C62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доля прибыльных предприятий составляет 66,67%. Плановое значение доли прибыльных предприятий агропромышленного комплекса в период 2023-2025 гг</w:t>
      </w:r>
      <w:r w:rsidR="00C62AC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100%.</w:t>
      </w:r>
    </w:p>
    <w:p w:rsidR="00CC3E25" w:rsidRDefault="00CC3E25" w:rsidP="00C62A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3A7" w:rsidRPr="001D31A8" w:rsidRDefault="000F23A7" w:rsidP="00C62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0F23A7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B5753B" w:rsidRDefault="00B5753B" w:rsidP="00B5753B">
      <w:pPr>
        <w:shd w:val="clear" w:color="auto" w:fill="FFFFFF"/>
        <w:autoSpaceDE w:val="0"/>
        <w:autoSpaceDN w:val="0"/>
        <w:adjustRightInd w:val="0"/>
        <w:spacing w:after="0" w:line="240" w:lineRule="auto"/>
        <w:ind w:left="125" w:right="17" w:firstLine="583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Показатель "Доля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значения" в 2022 году составил 0,95 %. В 2021 году данный показатель составлял 5,23%. Изменение показателя произошло на основании данных, предоставленных поселениями района в соответствии с формой федерального статистического наблюдения № 3-ДГ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«Сведения об автомобильных дорогах общего пользования местного значения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искусственных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сооружениях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них».</w:t>
      </w:r>
    </w:p>
    <w:p w:rsidR="00B5753B" w:rsidRDefault="00B5753B" w:rsidP="00B575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показателя: 3,5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369,7 км х 100  = 0,95 %. </w:t>
      </w:r>
    </w:p>
    <w:p w:rsidR="000F23A7" w:rsidRDefault="00B5753B" w:rsidP="00C62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Уменьшение показателя произошло в связи с приведением автодорог местного значения поселений в соответствие с нормативными требованиями, установленными ГОСТ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ОДМ 218.4.039-2018 и Порядком проведения оценки технического состояния автомобильных дорог, утвержденного приказом Минтранса России от 07.08.2020 № 288.</w:t>
      </w:r>
      <w:r w:rsidR="000F23A7"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C62AC4" w:rsidRPr="00C62AC4" w:rsidRDefault="00C62AC4" w:rsidP="00C62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F23A7" w:rsidRPr="001D31A8" w:rsidRDefault="000F23A7" w:rsidP="00C62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0F23A7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B5753B" w:rsidRDefault="00B5753B" w:rsidP="00B5753B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7" w:firstLine="67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2022 году составила – 30,71  %, согласно статистических данных.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2021 году данный показатель составлял 31,52 %. Изменения произошли в результате уменьшения  общей численности населения в районе, а также  по причине внешней и внутрирайонной миграции населения.</w:t>
      </w:r>
    </w:p>
    <w:p w:rsidR="00B5753B" w:rsidRDefault="00B5753B" w:rsidP="00B5753B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7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63"/>
        <w:gridCol w:w="3367"/>
      </w:tblGrid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Среднегодовая численность населения, чел.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п. Высокогорский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866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с. Городище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179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Каменск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Рудиковка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п. </w:t>
            </w:r>
            <w:proofErr w:type="gram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Кривляк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591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Никулино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176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с.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Луговатка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п. Александровский Шлюз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137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Безымянка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508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Масленниково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п. Майское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466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с. Маковское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63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gram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Ворожейка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с.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Лосиноборское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Суханово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Айдара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181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Мариловцева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п. Новый Городок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265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с. Савино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п. Новоназимово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710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Назимово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163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п. Сергеево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Колмогорово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Борки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Анциферово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163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с. Сым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177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д.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Шадрино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28.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с. Усть-Пит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401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с.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Шишмарево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30.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с. Ярцево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1159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Нижнешадрино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48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д. Фомка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 xml:space="preserve">п. </w:t>
            </w:r>
            <w:proofErr w:type="spellStart"/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Напарино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6651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21658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Чим=21658-6651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15007</w:t>
            </w:r>
          </w:p>
        </w:tc>
      </w:tr>
      <w:tr w:rsidR="00B5753B" w:rsidRPr="00BB0610" w:rsidTr="00CD46BD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D</w:t>
            </w:r>
            <w:proofErr w:type="gramEnd"/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= (21658-</w:t>
            </w:r>
            <w:r w:rsidRPr="00BB06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15007</w:t>
            </w:r>
            <w:r w:rsidRPr="00BB06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)/ 21658*100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3B" w:rsidRPr="00BB0610" w:rsidRDefault="00B5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sz w:val="24"/>
                <w:szCs w:val="24"/>
              </w:rPr>
              <w:t>30,71%</w:t>
            </w:r>
          </w:p>
        </w:tc>
      </w:tr>
    </w:tbl>
    <w:p w:rsidR="00CD46BD" w:rsidRPr="001D31A8" w:rsidRDefault="00CD46BD" w:rsidP="00201F18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3A7" w:rsidRDefault="000F23A7" w:rsidP="00A931EB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  <w:b/>
          <w:sz w:val="28"/>
          <w:szCs w:val="28"/>
        </w:rPr>
      </w:pPr>
      <w:r w:rsidRPr="001D31A8">
        <w:rPr>
          <w:rFonts w:ascii="Times New Roman" w:hAnsi="Times New Roman" w:cs="Times New Roman"/>
          <w:b/>
          <w:sz w:val="28"/>
          <w:szCs w:val="28"/>
        </w:rPr>
        <w:t>Показатели 8.1-8.5 «Среднемесячная номинальная начисленная заработная плата работников»</w:t>
      </w:r>
    </w:p>
    <w:p w:rsidR="00C62AC4" w:rsidRPr="001D31A8" w:rsidRDefault="00C62AC4" w:rsidP="00A931EB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5753B" w:rsidRDefault="00B5753B" w:rsidP="00B575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2022 году величина среднемесячной заработной платы крупных и средних предприятий возросла на 22,88 % и составила  59461,70 рублей.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Причинами значительного роста стали: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1.увеличение минимального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размера оплаты труда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два этапа: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- 01.01.2022 года до 13 890,00 рублей (+8,6%);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- 01.06.2022 года  до 15 279,00 рублей (+10%);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достижение контрольных показателей повышения заработной платы отдельных категорий работников бюджетной сферы, определенных Указом Президента.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2023 году прогнозируется прирост среднемесячной заработной платы на 9%. Основными факторами, влияющими на рост данного показателя, являются: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1.продолжение реализации Указа Президента, сохранение достигнутых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показателей повышения  оплаты труда отдельных категорий работников бюджетной сферы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с 01.01.2023 года увеличение минимального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размера оплаты труда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на 6,3 %;</w:t>
      </w:r>
    </w:p>
    <w:p w:rsidR="00B5753B" w:rsidRDefault="00B5753B" w:rsidP="00B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индексация оплаты труда  работников бюджетной сферы.</w:t>
      </w:r>
    </w:p>
    <w:p w:rsidR="00B5753B" w:rsidRPr="001D31A8" w:rsidRDefault="00B5753B" w:rsidP="00B575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прогнозируется увеличение среднемесячной заработной платы в 2024 году на 7,7%, в 2025 году на 7%.</w:t>
      </w:r>
    </w:p>
    <w:p w:rsidR="00AA62B5" w:rsidRPr="001D31A8" w:rsidRDefault="00AA62B5" w:rsidP="00AA62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753B" w:rsidRDefault="00B5753B" w:rsidP="00B5753B">
      <w:pPr>
        <w:autoSpaceDE w:val="0"/>
        <w:autoSpaceDN w:val="0"/>
        <w:adjustRightInd w:val="0"/>
        <w:spacing w:before="100" w:after="195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рост средней заработной платы работников дошкольных образовательных (далее ДОО) и общеобразовательных (далее ОО) организаций  в связи установлением региональной выплаты в Енисейском районе  с 01.01.2022 года  25002 руб. с 01.06.2022 года  27503 руб. Уровень роста средней заработной платы работников образования отражен в таблице</w:t>
      </w:r>
      <w:r>
        <w:rPr>
          <w:rFonts w:ascii="Calibri" w:hAnsi="Calibri" w:cs="Calibri"/>
        </w:rPr>
        <w:t> </w:t>
      </w:r>
    </w:p>
    <w:tbl>
      <w:tblPr>
        <w:tblW w:w="0" w:type="auto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2"/>
        <w:gridCol w:w="1417"/>
        <w:gridCol w:w="1417"/>
        <w:gridCol w:w="1418"/>
        <w:gridCol w:w="1417"/>
        <w:gridCol w:w="1418"/>
      </w:tblGrid>
      <w:tr w:rsidR="00B5753B" w:rsidTr="00BA5DBC">
        <w:trPr>
          <w:trHeight w:val="2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Pr="00BA5DBC" w:rsidRDefault="00B5753B" w:rsidP="00BA5DBC">
            <w:pPr>
              <w:autoSpaceDE w:val="0"/>
              <w:autoSpaceDN w:val="0"/>
              <w:adjustRightInd w:val="0"/>
              <w:spacing w:before="100" w:after="195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sz w:val="24"/>
                <w:szCs w:val="24"/>
              </w:rPr>
              <w:t>2025</w:t>
            </w:r>
          </w:p>
        </w:tc>
      </w:tr>
      <w:tr w:rsidR="00B5753B" w:rsidTr="00BA5DBC">
        <w:trPr>
          <w:trHeight w:val="881"/>
        </w:trPr>
        <w:tc>
          <w:tcPr>
            <w:tcW w:w="2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Средняя зарплата работников общеобразовательных организаций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39180,83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47913,25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52225,44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56246,80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60184,08</w:t>
            </w:r>
          </w:p>
        </w:tc>
      </w:tr>
      <w:tr w:rsidR="00B5753B" w:rsidTr="00BA5DBC">
        <w:tc>
          <w:tcPr>
            <w:tcW w:w="2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Средняя зарплата учителей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51926,30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54726,81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56721,87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56721,87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56721,87</w:t>
            </w:r>
          </w:p>
        </w:tc>
      </w:tr>
      <w:tr w:rsidR="00B5753B" w:rsidTr="00BA5DBC">
        <w:tc>
          <w:tcPr>
            <w:tcW w:w="2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Средняя зарплата работников дошкольных организаций 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28230,81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33604,98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36629,43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39449,89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53B" w:rsidRDefault="00B5753B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42211,39</w:t>
            </w:r>
          </w:p>
        </w:tc>
      </w:tr>
    </w:tbl>
    <w:p w:rsidR="00412366" w:rsidRDefault="00412366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A5DBC" w:rsidRDefault="00BA5DBC" w:rsidP="00BA5DBC">
      <w:pPr>
        <w:tabs>
          <w:tab w:val="left" w:pos="102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заработной платы работников культуры за 2022 год в сравнении с 2021 годом произошло в связи с предоставлением субсидии бюджету муниципального образования Красноярского края на частичное финансирование (возмещение) расходов на увеличение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размеров оплаты труда работников учреждений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культуры, подведомственных муниципальному органу управления в сфере культуры.</w:t>
      </w:r>
    </w:p>
    <w:p w:rsidR="00BA5DBC" w:rsidRDefault="00BA5DBC" w:rsidP="00BA5DBC">
      <w:pPr>
        <w:tabs>
          <w:tab w:val="left" w:pos="102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5"/>
        <w:gridCol w:w="1360"/>
        <w:gridCol w:w="1361"/>
        <w:gridCol w:w="1361"/>
        <w:gridCol w:w="1361"/>
        <w:gridCol w:w="1361"/>
      </w:tblGrid>
      <w:tr w:rsidR="00BA5DBC" w:rsidTr="00BA5DBC">
        <w:trPr>
          <w:trHeight w:val="240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2022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2023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2024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B0610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sz w:val="24"/>
                <w:szCs w:val="24"/>
              </w:rPr>
              <w:t>2025</w:t>
            </w:r>
          </w:p>
        </w:tc>
      </w:tr>
      <w:tr w:rsidR="00BA5DBC" w:rsidTr="00BA5DBC"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Средняя зарплата работников муниципальных учреждений культуры и искусства (руб.)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40585,49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43943,70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45327,92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45327,92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45327,92</w:t>
            </w:r>
          </w:p>
        </w:tc>
      </w:tr>
    </w:tbl>
    <w:p w:rsidR="00B64FB9" w:rsidRDefault="00B64FB9" w:rsidP="00BA5DBC">
      <w:pPr>
        <w:tabs>
          <w:tab w:val="left" w:pos="102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DBC" w:rsidRDefault="00BA5DBC" w:rsidP="00BA5DBC">
      <w:pPr>
        <w:tabs>
          <w:tab w:val="left" w:pos="102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заработной платы работников учреждений физической культуры и спорта за 2022 год в сравнении с 2021 годом произошло в связи: </w:t>
      </w:r>
    </w:p>
    <w:p w:rsidR="00BA5DBC" w:rsidRDefault="00BA5DBC" w:rsidP="00BA5DBC">
      <w:pPr>
        <w:tabs>
          <w:tab w:val="left" w:pos="10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  с предоставлением субсидии бюджету муниципального образования Красноярского края на частичное финансирование (возмещение) расходов на увеличение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размеров оплаты труда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педагогическим работникам учреждений дополнительного образования, реализующих программы дополнительного образования детей, и непосредственно осуществляющие тренировочный процесс работники муниципальных спортивных школ. </w:t>
      </w:r>
    </w:p>
    <w:p w:rsidR="00BA5DBC" w:rsidRDefault="00BA5DBC" w:rsidP="00BA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2.  с повышением в 2022 году региональной выплаты, обеспечивающей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размера оплаты труда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BA5DBC" w:rsidRDefault="00BA5DBC" w:rsidP="00BA5D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8"/>
        <w:gridCol w:w="1162"/>
        <w:gridCol w:w="1162"/>
        <w:gridCol w:w="1162"/>
        <w:gridCol w:w="1162"/>
        <w:gridCol w:w="1163"/>
      </w:tblGrid>
      <w:tr w:rsidR="00BA5DBC" w:rsidRPr="00BA5DBC" w:rsidTr="00BA5DBC">
        <w:trPr>
          <w:trHeight w:val="240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B0610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B0610">
              <w:rPr>
                <w:rFonts w:ascii="Times New Roman CYR" w:hAnsi="Times New Roman CYR" w:cs="Times New Roman CYR"/>
                <w:b/>
                <w:sz w:val="24"/>
                <w:szCs w:val="24"/>
              </w:rPr>
              <w:t>2025</w:t>
            </w:r>
          </w:p>
        </w:tc>
      </w:tr>
      <w:tr w:rsidR="00BA5DBC" w:rsidRPr="00BA5DBC" w:rsidTr="00BA5DBC">
        <w:tc>
          <w:tcPr>
            <w:tcW w:w="3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Средняя зарплата работников муниципальных учреждений физической культуры и спорта (руб.)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34208,20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37535,00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39149,01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39687,30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5DBC" w:rsidRPr="00BA5DBC" w:rsidRDefault="00BA5DBC" w:rsidP="00BA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5DBC">
              <w:rPr>
                <w:rFonts w:ascii="Times New Roman CYR" w:hAnsi="Times New Roman CYR" w:cs="Times New Roman CYR"/>
                <w:sz w:val="24"/>
                <w:szCs w:val="24"/>
              </w:rPr>
              <w:t>41324,41</w:t>
            </w:r>
          </w:p>
        </w:tc>
      </w:tr>
    </w:tbl>
    <w:p w:rsidR="00BA5DBC" w:rsidRPr="00DA042B" w:rsidRDefault="00BA5DBC" w:rsidP="00BA5D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12366" w:rsidRPr="00DA042B" w:rsidRDefault="00412366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23A7" w:rsidRPr="001D31A8" w:rsidRDefault="00F12658" w:rsidP="00F1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1D31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Дошкольное образование (9-11)</w:t>
      </w:r>
    </w:p>
    <w:p w:rsidR="00F12658" w:rsidRPr="001D31A8" w:rsidRDefault="00F12658" w:rsidP="00F126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62B5" w:rsidRPr="001D31A8" w:rsidRDefault="00AA62B5" w:rsidP="003C7444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1A8">
        <w:rPr>
          <w:rFonts w:ascii="Times New Roman CYR" w:hAnsi="Times New Roman CYR" w:cs="Times New Roman CYR"/>
          <w:b/>
          <w:bCs/>
          <w:sz w:val="28"/>
          <w:szCs w:val="28"/>
        </w:rPr>
        <w:t>Дошкольное образование.</w:t>
      </w:r>
    </w:p>
    <w:p w:rsidR="00AA62B5" w:rsidRPr="00C62AC4" w:rsidRDefault="00AA62B5" w:rsidP="00AA62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- 7 дошкольных образовательных учреждений и 21 дошкольная группа при 13</w:t>
      </w:r>
      <w:r w:rsidRPr="003C74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 школах.</w:t>
      </w:r>
    </w:p>
    <w:p w:rsidR="003C7444" w:rsidRPr="003C7444" w:rsidRDefault="003C7444" w:rsidP="003C74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детей от 1 года до 6 лет, получающих дошкольную образовательную услугу, увеличилась с 61,2% в 2021 году до 61,53% (+0,33%) в 2022 году, к 2025 году предполагается стабильность данного показателя.  </w:t>
      </w:r>
    </w:p>
    <w:p w:rsidR="003C7444" w:rsidRPr="003C7444" w:rsidRDefault="003C7444" w:rsidP="003C74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детей в возрасте 1 – 6 лет, состоящих на учёте для определения в муниципальные дошкольные образовательные учреждения, стабильна с 2021 года – 0%. К 2025 году предполагается стабильность данного показателя.  </w:t>
      </w:r>
    </w:p>
    <w:p w:rsidR="003C7444" w:rsidRPr="003C7444" w:rsidRDefault="003C7444" w:rsidP="003C74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доли детей, получающих дошкольную образовательную услугу, связано с уменьшением общего количества детей дошкольного возраста в населённых пунктах.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Остается без изменения доля муниципальных дошкольных учреждений, здания которых находятся в аварийном состоянии или требуют капитального ремонта- 57,14%. Это связано с   отсутствием денежных сре</w:t>
      </w:r>
      <w:proofErr w:type="gram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проведения капитального ремонта и устранения предписаний в дошкольных учреждениях. 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Требуют капитального ремонта: </w:t>
      </w:r>
      <w:proofErr w:type="gram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Подтесовский детский сад №28, МБДОУ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Ярцевский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 № 3, МБДОУ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Новокаргинский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детский сад № 20, МБДОУ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Верхнепашинский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 № 8, дошкольные группы при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Потаповская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8, МБОУ Озерновская СОШ №47,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Кривлякская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3,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Новогородокская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№ 16, МБОУ Шапкинская СОШ № 11,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Погодаевская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18,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Подгорновская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17</w:t>
      </w:r>
      <w:r w:rsidRPr="003C74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End"/>
    </w:p>
    <w:p w:rsidR="00901144" w:rsidRPr="00CC3E25" w:rsidRDefault="00901144" w:rsidP="00F1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901144" w:rsidRPr="00CC3E25" w:rsidRDefault="00901144" w:rsidP="00F1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F12658" w:rsidRPr="003C7444" w:rsidRDefault="00F12658" w:rsidP="00F12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44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3C74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Общее и дополнительное образование (13-19)</w:t>
      </w:r>
    </w:p>
    <w:p w:rsidR="00AC2877" w:rsidRPr="00CC3E25" w:rsidRDefault="00AC2877" w:rsidP="00AC28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Енисейском районе в 2022 г. - 34 общеобразовательные школы, из них 16 филиалов (средних школ – 15, основных школ – 8, из 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них 5 филиалов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начальных школ – 12, из них 12 филиалов).</w:t>
      </w:r>
    </w:p>
    <w:p w:rsidR="003C7444" w:rsidRPr="003C7444" w:rsidRDefault="003C7444" w:rsidP="00C278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Доля выпускников, не получивших аттестат о среднем общем образовании в общей численности выпускников, в 2022 г. составила 1,4 %, что на 0,8 % ниже, чем в 2021 г. 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2023 г. по данному показателю прогнозируется выйти на уровень 1,0 %, к 2024 г. – 1,0 %.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Это произойдёт при условии проведения следующих мероприятий:    </w:t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наличия в образовательных учреждениях планов подготовки, обучающихся к государственной итоговой аттестации;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наличия и функционирования в школах систем внутреннего мониторинга качества образования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;</w:t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обучение учителей школ современным методам и технологиям контроля уровня знаний выпускников;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репетиционных тестирований;</w:t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организация выполнения обучающимися заданий открытого сегмента федерального банка тестовых заданий ЕГЭ, размещённых на сайте ФИПИ, на сайте </w:t>
      </w:r>
      <w:proofErr w:type="spellStart"/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Статград</w:t>
      </w:r>
      <w:proofErr w:type="spellEnd"/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«Решу ЕГЭ»;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пробного тестирования в образовательных учреждениях с целью отработки процедуры проведения ЕГЭ;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организация проведения дополнительных занятий с </w:t>
      </w:r>
      <w:proofErr w:type="gramStart"/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обучающимися</w:t>
      </w:r>
      <w:proofErr w:type="gramEnd"/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темам, при выполнении заданий, по которым имеются затруднения;</w:t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проведение муниципальных интенсивных школ по подготовке к ЕГЭ;</w:t>
      </w:r>
    </w:p>
    <w:p w:rsidR="003C7444" w:rsidRPr="003C7444" w:rsidRDefault="003C7444" w:rsidP="003C7444">
      <w:pPr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рассмотрение западающих тем на районных методических объединениях учителей-предметников.</w:t>
      </w:r>
    </w:p>
    <w:p w:rsidR="003C7444" w:rsidRPr="003C7444" w:rsidRDefault="003C7444" w:rsidP="003C744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Увеличилась доля ОУ, не соответствую</w:t>
      </w: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щих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современным требованиям обучения, в общем количестве ОУ с 73,6 % в 2021 году до в 83,3% 2022 году в связи с увеличением количества зданий требующих капитального ремонта. Планируется повышение данного показателя в 2023 году за счет проведения капитального ремонта здания МБОУ Подтесовская СОШ №46, МБОУ Шапкинская СОШ №11.</w:t>
      </w:r>
    </w:p>
    <w:p w:rsidR="003C7444" w:rsidRDefault="003C7444" w:rsidP="003C744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зданий ОУ, соответствующих современным требованиям.</w:t>
      </w:r>
    </w:p>
    <w:p w:rsidR="00B64FB9" w:rsidRPr="003C7444" w:rsidRDefault="00B64FB9" w:rsidP="003C744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3C7444" w:rsidRPr="003C7444" w:rsidTr="003C7444">
        <w:trPr>
          <w:tblHeader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 в соответствии с формой ФСН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ОУ</w:t>
            </w:r>
          </w:p>
        </w:tc>
      </w:tr>
      <w:tr w:rsidR="003C7444" w:rsidRPr="003C7444" w:rsidTr="003C7444">
        <w:trPr>
          <w:trHeight w:val="254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учреждений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3C7444" w:rsidRPr="003C7444" w:rsidTr="003C7444">
        <w:trPr>
          <w:trHeight w:val="144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имеющих собственный спортивный зал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C7444" w:rsidRPr="003C7444" w:rsidTr="003C7444">
        <w:trPr>
          <w:trHeight w:val="168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имеющих актовый зал или лекционный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C7444" w:rsidRPr="003C7444" w:rsidTr="003C7444">
        <w:trPr>
          <w:trHeight w:val="180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имеющих столовую или зал для приема пищи - всего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C7444" w:rsidRPr="003C7444" w:rsidTr="003C7444">
        <w:trPr>
          <w:trHeight w:val="156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имеющих библиотеки (книжный фонд)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C7444" w:rsidRPr="003C7444" w:rsidTr="003C7444">
        <w:trPr>
          <w:trHeight w:val="192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здания которых требуют капитального ремонта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3C7444" w:rsidRPr="003C7444" w:rsidTr="003C7444">
        <w:trPr>
          <w:trHeight w:val="118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здания которых находятся в аварийном состоянии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C7444" w:rsidRPr="003C7444" w:rsidTr="003C7444"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оборудованных, водопроводом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C7444" w:rsidRPr="003C7444" w:rsidTr="003C7444"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оборудованных, водоотведением (канализацией)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C7444" w:rsidRPr="003C7444" w:rsidTr="003C7444"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оборудованных центральным отоплением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C7444" w:rsidRPr="003C7444" w:rsidTr="003C7444"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подключенных к сети интернет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3C7444" w:rsidRPr="003C7444" w:rsidTr="003C7444"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имеющих собственный сайт в сети интернет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C7444" w:rsidRPr="003C7444" w:rsidTr="003C7444">
        <w:trPr>
          <w:trHeight w:val="316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реализующих образовательные программы с использованием дистанционных технологий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3C7444" w:rsidRPr="003C7444" w:rsidTr="003C7444">
        <w:trPr>
          <w:trHeight w:val="74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имеющих автоматическую пожарную сигнализацию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3C7444" w:rsidRPr="003C7444" w:rsidTr="003C7444">
        <w:trPr>
          <w:trHeight w:val="144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имеющих 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дымовые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извещатели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3C7444" w:rsidRPr="003C7444" w:rsidTr="003C7444">
        <w:trPr>
          <w:trHeight w:val="204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Число учреждений, имеющих пожарные краны и рукава 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C7444" w:rsidRPr="003C7444" w:rsidTr="003C7444">
        <w:trPr>
          <w:trHeight w:val="561"/>
        </w:trPr>
        <w:tc>
          <w:tcPr>
            <w:tcW w:w="675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37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учреждений, в которых созданы условия для беспрепятственного доступа инвалидов</w:t>
            </w:r>
          </w:p>
        </w:tc>
        <w:tc>
          <w:tcPr>
            <w:tcW w:w="1701" w:type="dxa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</w:tbl>
    <w:p w:rsid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соответствуют современным требованиям обучения –15 учреждений: 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3402"/>
      </w:tblGrid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ОУ, не 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соответствующих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современным требованиям обучения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зданий</w:t>
            </w:r>
          </w:p>
        </w:tc>
        <w:tc>
          <w:tcPr>
            <w:tcW w:w="340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несоответствия современным требованиям</w:t>
            </w: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Новокаргинская СОШ № 5 (здание начальной школы)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здания требуют капитального ремонта</w:t>
            </w: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Кривлякская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3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8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Абалаковская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СОШ№1 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Новогородокская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 №16 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Погодаевская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№18 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Подгорновская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№17(здание филиала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алобелая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Подтесовская СОШ №46 (находится на стадии капитального ремонта)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Шапкинская СОШ №11 (находится на стадии капитального ремонта)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Ярцевская СОШ №12 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Высокогорская СОШ №7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Безымянская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ООШ № 28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Озерновская СОШ  № 47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Усть-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Питская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 №19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rPr>
          <w:trHeight w:val="134"/>
        </w:trPr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Безымянская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ООШ № 28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имеют центрального отопления, водопровода, 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 отведения</w:t>
            </w:r>
            <w:proofErr w:type="gramEnd"/>
          </w:p>
        </w:tc>
      </w:tr>
      <w:tr w:rsidR="003C7444" w:rsidRPr="003C7444" w:rsidTr="003C7444">
        <w:trPr>
          <w:trHeight w:val="226"/>
        </w:trPr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Кривлякская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3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rPr>
          <w:trHeight w:val="70"/>
        </w:trPr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Новоназимовская СОШ №  4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rPr>
          <w:trHeight w:val="236"/>
        </w:trPr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Ярцевская СОШ № 12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4786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Озерновская СОШ  № 47</w:t>
            </w:r>
          </w:p>
        </w:tc>
        <w:tc>
          <w:tcPr>
            <w:tcW w:w="1559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Увеличилась доля ОУ, здания, которых находятся в аварийном состоянии или требуют капитал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ремонта, с 57,8% в 2021 году  до 83,3% в 2022 году в связи с увеличением износа зданий и необходимостью проведения капитального ремонта.  Планируется снижение этого показателя в 2023 году до 77,7% в связи с проведением капитального ремонта в МБОУ Подтесовская СОШ №46, МБОУ Шапкинская СОШ №11.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2412"/>
      </w:tblGrid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ОУ, 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находящиеся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аварийном состоянии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зданий </w:t>
            </w:r>
          </w:p>
        </w:tc>
      </w:tr>
      <w:tr w:rsidR="003C7444" w:rsidRPr="003C7444" w:rsidTr="003C7444">
        <w:trPr>
          <w:trHeight w:val="285"/>
        </w:trPr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Кривлякская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№3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rPr>
          <w:trHeight w:val="345"/>
        </w:trPr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Потаповская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№8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rPr>
          <w:trHeight w:val="195"/>
        </w:trPr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ОУ, 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требующие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капитального ремонта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Новокаргинская СОШ № 5 (здание начальной школы)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Абалаковская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СОШ№1 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Новогородокская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 №16 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Погодаевская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№18 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Подгорновская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№17 (здание филиала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gram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алобелая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Подтесовская СОШ №46 (находится на стадии капитального ремонта)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Шапкинская СОШ №11 (находится на стадии капитального ремонта)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Ярцевская СОШ №12 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Высокогорская СОШ №7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Потаповская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8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Озерновская СОШ  № 47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Усть-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Питская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 №19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Безымянская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ООШ № 28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3C7444" w:rsidRPr="003C7444" w:rsidTr="003C7444">
        <w:tc>
          <w:tcPr>
            <w:tcW w:w="7335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Кривлякская</w:t>
            </w:r>
            <w:proofErr w:type="spellEnd"/>
            <w:r w:rsidRPr="003C7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3</w:t>
            </w:r>
          </w:p>
        </w:tc>
        <w:tc>
          <w:tcPr>
            <w:tcW w:w="2412" w:type="dxa"/>
            <w:shd w:val="clear" w:color="auto" w:fill="auto"/>
          </w:tcPr>
          <w:p w:rsidR="003C7444" w:rsidRPr="003C7444" w:rsidRDefault="003C7444" w:rsidP="003C7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7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</w:tbl>
    <w:p w:rsidR="003C7444" w:rsidRDefault="003C7444" w:rsidP="003C744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C7444" w:rsidRPr="003C7444" w:rsidRDefault="003C7444" w:rsidP="005F4F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Наблюдается снижение доли детей первой и второй групп здоровья в общей численности ОУ с 92,61%, в 2021 году до 90,73% в 2022 году, в связи с уменьшением общей численности детей в ОУ, а также со снижением активности детей, посещением спортивных секций как школьных, так и за пределами школы. </w:t>
      </w:r>
    </w:p>
    <w:p w:rsidR="003C7444" w:rsidRPr="003C7444" w:rsidRDefault="003C7444" w:rsidP="003C7444">
      <w:pPr>
        <w:tabs>
          <w:tab w:val="left" w:pos="709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Планируется дальнейшее повышение доли численности детей первой и второй групп здоровья до 91,1 % за счет привлечения детей к спортивным мероприятиям и увеличения охвата детей горячим питанием. </w:t>
      </w:r>
    </w:p>
    <w:p w:rsidR="003C7444" w:rsidRPr="003C7444" w:rsidRDefault="003C7444" w:rsidP="003C74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Из 35 общеобразовательных учреждений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г. </w:t>
      </w:r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две смены работа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Безымянская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ООШ №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28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МБОУ Верхнепашинская СОШ   № 2, МБОУ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Новокаргинская СОШ № 5,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Подгорновская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 17, МБОУ Подтесовская СОШ № 46, МБОУ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Новогородокская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 № 16</w:t>
      </w:r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филиал </w:t>
      </w:r>
      <w:proofErr w:type="spellStart"/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Фомкинская</w:t>
      </w:r>
      <w:proofErr w:type="spellEnd"/>
      <w:r w:rsidRPr="003C744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НОШ.</w:t>
      </w:r>
      <w:r w:rsidRPr="003C74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вторую смену обучались 16,19 % учеников. Доля обучающихся во вторую смену в сравнении с 2021 г. увеличилась на 6,81 %.</w:t>
      </w:r>
      <w:r w:rsidRPr="003C74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произошло из-за проведения капитальных ремонтов образовательных учреждений, а также увеличения наполняемости классов.</w:t>
      </w:r>
    </w:p>
    <w:p w:rsidR="003C7444" w:rsidRPr="003C7444" w:rsidRDefault="003C7444" w:rsidP="003C7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бюджета Енисейского района на общее образование в расчете на одного обучающегося в школах в 2022г. составили 145,78 тыс. руб., в связи с увеличением расходов местного бюджета на повышение минимального </w:t>
      </w:r>
      <w:proofErr w:type="gramStart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размера оплаты труда</w:t>
      </w:r>
      <w:proofErr w:type="gramEnd"/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питание, коммунальные услуги, заработной платы. </w:t>
      </w:r>
    </w:p>
    <w:p w:rsidR="003C7444" w:rsidRPr="003C7444" w:rsidRDefault="003C7444" w:rsidP="003C7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4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 по показателю на 2023 - 2025 годы составит 145,78 тыс. руб., на уровне 2021 года. </w:t>
      </w:r>
    </w:p>
    <w:p w:rsidR="003C7444" w:rsidRPr="003C7444" w:rsidRDefault="003C7444" w:rsidP="003C7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3C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Доля детей в возрасте 5-18 лет, получающих услуги по дополнительному образованию в организациях всех форм собственности, возрастает с 77,</w:t>
      </w:r>
      <w:r w:rsidR="00FE5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95 % в 2020 г. до 95</w:t>
      </w:r>
      <w:r w:rsidRPr="003C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,6% в 2022г. за счет создания новых объединений и увеличения </w:t>
      </w:r>
      <w:r w:rsidRPr="003C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 системы дополнительного образования в общеобразовательных учреждениях района, получение лицензий на ведение образовательной деятельности по дополнительным общеобразовательным программам в дошкольных образовательных учреждениях, внедрение персонифицированного финансирования системы</w:t>
      </w:r>
      <w:proofErr w:type="gramEnd"/>
      <w:r w:rsidRPr="003C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Енисейского района.</w:t>
      </w:r>
    </w:p>
    <w:p w:rsidR="00901144" w:rsidRDefault="00901144" w:rsidP="009011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C62AC4" w:rsidRPr="001D31A8" w:rsidRDefault="00C62AC4" w:rsidP="009011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0F23A7" w:rsidRPr="001D31A8" w:rsidRDefault="000F23A7" w:rsidP="00466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Культура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F23A7" w:rsidRPr="001D31A8" w:rsidRDefault="000F23A7" w:rsidP="00C62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потребности:</w:t>
      </w:r>
      <w:r w:rsidR="00F12658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клубами и учреждениями клубного типа, библиотеками, парками культуры и отдыха</w:t>
      </w: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901144" w:rsidRDefault="00901144" w:rsidP="0090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 в Енисейском районе в 2022 году составил 100%, 2020 год – 100%, 2021 год – 100%. Значение показателя не изменилось, рассчитано по методическим рекомендациям.</w:t>
      </w:r>
    </w:p>
    <w:p w:rsidR="00901144" w:rsidRDefault="00901144" w:rsidP="009011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нормативам Министерства культуры Красноярского края в Енисейском районе должно быть 44 библиотеки. Не хватает детской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межпоселенческой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библиотеки, юношеской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межпоселенческой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библиотеки и сельских библиотек в нескольких населенных пунктах (Никулино,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Шишмарево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Усть-Тунгуска, Горская, Байкал, Сым, Новый Городок, </w:t>
      </w:r>
      <w:proofErr w:type="spellStart"/>
      <w:r>
        <w:rPr>
          <w:rFonts w:ascii="Times New Roman CYR" w:hAnsi="Times New Roman CYR" w:cs="Times New Roman CYR"/>
          <w:kern w:val="1"/>
          <w:sz w:val="28"/>
          <w:szCs w:val="28"/>
        </w:rPr>
        <w:t>Прутовая</w:t>
      </w:r>
      <w:proofErr w:type="spellEnd"/>
      <w:r>
        <w:rPr>
          <w:rFonts w:ascii="Times New Roman CYR" w:hAnsi="Times New Roman CYR" w:cs="Times New Roman CYR"/>
          <w:kern w:val="1"/>
          <w:sz w:val="28"/>
          <w:szCs w:val="28"/>
        </w:rPr>
        <w:t>, д. Каргино).</w:t>
      </w:r>
    </w:p>
    <w:p w:rsidR="00901144" w:rsidRDefault="00901144" w:rsidP="009011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2020 году сеть библиотек </w:t>
      </w:r>
      <w:r w:rsidR="00C73395">
        <w:rPr>
          <w:rFonts w:ascii="Times New Roman CYR" w:hAnsi="Times New Roman CYR" w:cs="Times New Roman CYR"/>
          <w:kern w:val="1"/>
          <w:sz w:val="28"/>
          <w:szCs w:val="28"/>
        </w:rPr>
        <w:t>Енисейского района представлена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31 </w:t>
      </w:r>
      <w:r w:rsidR="00C73395">
        <w:rPr>
          <w:rFonts w:ascii="Times New Roman CYR" w:hAnsi="Times New Roman CYR" w:cs="Times New Roman CYR"/>
          <w:kern w:val="1"/>
          <w:sz w:val="28"/>
          <w:szCs w:val="28"/>
        </w:rPr>
        <w:t>учреждением, в том числе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 юридическое лицо и 30 филиалов, что составило 93,94%  эффективности деятельности библиотек. </w:t>
      </w:r>
    </w:p>
    <w:p w:rsidR="00901144" w:rsidRDefault="00901144" w:rsidP="009011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2021 году сеть библиотек Енисейского района не изменилась. В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Енисейском районе должно быть 33 библиотеки, в действительности 31 библиотека из которых 1 юридическое лицо и 30 филиалов, что составило 93,94%  эффективности деятельности библиотек.</w:t>
      </w:r>
    </w:p>
    <w:p w:rsidR="00901144" w:rsidRDefault="00901144" w:rsidP="00901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2022 году изменение сети библиотек Енисейского района не происходило. В Енисейском районе должно быть 33 библиотеки, в действительности 31 библиотека из которых 1 юридическое лицо и 30 филиалов, что составило 93,94%  эффективности деятельности библиотек.</w:t>
      </w:r>
    </w:p>
    <w:p w:rsidR="00DE2E46" w:rsidRPr="00C62AC4" w:rsidRDefault="00DE2E46" w:rsidP="00DE2E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23A7" w:rsidRPr="001D31A8" w:rsidRDefault="000F23A7" w:rsidP="00DE2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F12658" w:rsidRDefault="00F12658" w:rsidP="000F23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p w:rsidR="000D13F1" w:rsidRDefault="000D13F1" w:rsidP="000D13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территории Енисейского района располагается 63 учреждения культуры, 30 учреждений культурно - досугового типа,  2 – учреждения дополнительного образования в области культура,  31 – библиотека, из них, на отчетный 2022 год, 22 требуют капитального ремонта (20 – культурно – досугового типа, 1 – библиотека, 1 - ДШИ) -  это 34,92 % доля от общего количества  учреждений. </w:t>
      </w:r>
    </w:p>
    <w:p w:rsidR="00F43654" w:rsidRDefault="000D13F1" w:rsidP="00DE2E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Для подачи заявок в государственные целевые программы Красноярского края, требуется подготовка необходимых документов за счет средств местного бюджета, для включения их в программу на проведение капитального ремонта или реконструкцию зданий учреждений культуры.</w:t>
      </w:r>
    </w:p>
    <w:p w:rsidR="00F43654" w:rsidRPr="00C62AC4" w:rsidRDefault="00F43654" w:rsidP="00DE2E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12658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22.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объектов культурного наследия, находящихся в муниципальной собственности и требующих консервации или реставрации, в общем</w:t>
      </w:r>
      <w:r w:rsidR="000F7BB9"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количестве объектов культурного наследия, находящихся в муниципальной собственности</w:t>
      </w:r>
    </w:p>
    <w:p w:rsidR="000F7BB9" w:rsidRDefault="000F7BB9" w:rsidP="00466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0D13F1" w:rsidRDefault="000D13F1" w:rsidP="000D13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1 января 2022 года на территории Енисейского района располагается 14 объектов культурного наследия из них 2 объекта (церкви) оформлены в муниципальную собственность сельских администраций. </w:t>
      </w:r>
    </w:p>
    <w:p w:rsidR="000D13F1" w:rsidRDefault="000D13F1" w:rsidP="000D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100 %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:rsidR="000D13F1" w:rsidRDefault="000D13F1" w:rsidP="00466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C62AC4" w:rsidRPr="001D31A8" w:rsidRDefault="00C62AC4" w:rsidP="00466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0F23A7" w:rsidRPr="001D31A8" w:rsidRDefault="000F23A7" w:rsidP="00466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Физическая культура и спорт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Доля населения, систематически занимающегося физической культурой и спортом</w:t>
      </w:r>
    </w:p>
    <w:p w:rsidR="00C57A8A" w:rsidRDefault="00C57A8A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D13F1" w:rsidRDefault="000D13F1" w:rsidP="000D1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целях развития физической культуры и спорта в районе ведется систематическая работа по созданию благоприятных условий для вовлечения населения в систематические занятия физической культурой и спортом.</w:t>
      </w:r>
    </w:p>
    <w:p w:rsidR="00F43654" w:rsidRDefault="000D13F1" w:rsidP="000D13F1">
      <w:pPr>
        <w:tabs>
          <w:tab w:val="left" w:pos="8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«Доля населения, систематически занимающегося физической культурой и спортом» по итогам 2022 года составил 48,88% (9913 чел.). К 2025 году </w:t>
      </w:r>
      <w:r w:rsidR="002C0EB8">
        <w:rPr>
          <w:rFonts w:ascii="Times New Roman CYR" w:hAnsi="Times New Roman CYR" w:cs="Times New Roman CYR"/>
          <w:sz w:val="28"/>
          <w:szCs w:val="28"/>
        </w:rPr>
        <w:t>спрогнозировано</w:t>
      </w:r>
      <w:r w:rsidR="00CC3E25">
        <w:rPr>
          <w:rFonts w:ascii="Times New Roman CYR" w:hAnsi="Times New Roman CYR" w:cs="Times New Roman CYR"/>
          <w:sz w:val="28"/>
          <w:szCs w:val="28"/>
        </w:rPr>
        <w:t xml:space="preserve"> увеличение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показателя до 57,8 %, </w:t>
      </w:r>
      <w:r w:rsidR="00CC3E25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 2023 году 53,59%, в 2024 году</w:t>
      </w:r>
      <w:r w:rsidR="00CC3E25">
        <w:rPr>
          <w:rFonts w:ascii="Times New Roman CYR" w:hAnsi="Times New Roman CYR" w:cs="Times New Roman CYR"/>
          <w:sz w:val="28"/>
          <w:szCs w:val="28"/>
        </w:rPr>
        <w:t xml:space="preserve"> 56,8%, в  году 2024 году 57,8%).</w:t>
      </w:r>
    </w:p>
    <w:p w:rsidR="00C57A8A" w:rsidRPr="00C62AC4" w:rsidRDefault="00C57A8A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23.1.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Доля 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, систематически занимающихся физической культурой и спортом, в общей численности обучающихся</w:t>
      </w:r>
    </w:p>
    <w:p w:rsidR="00466C1F" w:rsidRDefault="00466C1F" w:rsidP="00466C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3F1" w:rsidRDefault="000D13F1" w:rsidP="000D13F1">
      <w:pPr>
        <w:tabs>
          <w:tab w:val="left" w:pos="8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«Доля обучающихся, систематически занимающегося физической культурой и спортом, в общей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обучающихся» по итогам 2022 года составил 98,24%</w:t>
      </w:r>
      <w:r w:rsidR="00CC3E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(4645 чел.). К 2025 году планируется увеличить значение показателя до 98,39 %, </w:t>
      </w:r>
      <w:r w:rsidR="00CC3E25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 2023 году 98,29%, в 2024 году 98,34%, в  году 2025</w:t>
      </w:r>
      <w:r w:rsidR="00CC3E25">
        <w:rPr>
          <w:rFonts w:ascii="Times New Roman CYR" w:hAnsi="Times New Roman CYR" w:cs="Times New Roman CYR"/>
          <w:sz w:val="28"/>
          <w:szCs w:val="28"/>
        </w:rPr>
        <w:t xml:space="preserve"> году 98,39%).</w:t>
      </w:r>
    </w:p>
    <w:p w:rsidR="000D13F1" w:rsidRDefault="000D13F1" w:rsidP="000D13F1">
      <w:pPr>
        <w:tabs>
          <w:tab w:val="left" w:pos="8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3F1" w:rsidRDefault="000D13F1" w:rsidP="000D13F1">
      <w:pPr>
        <w:tabs>
          <w:tab w:val="left" w:pos="8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показателей связанно с вводом в эксплуатацию спортивной площадки для подвижных игр в п.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Кривляк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модернизацией хоккейной коробки в п. Усть-Кемь, а так же с приобретением инвентаря для физкультурно-спортивных клубов по месту жительства.</w:t>
      </w:r>
    </w:p>
    <w:p w:rsidR="000D13F1" w:rsidRDefault="000D13F1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C62AC4" w:rsidRPr="000D13F1" w:rsidRDefault="00C62AC4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F23A7" w:rsidRPr="001D31A8" w:rsidRDefault="000F23A7" w:rsidP="000D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lang w:eastAsia="ru-RU"/>
        </w:rPr>
        <w:t>Жилищное строительство и обеспечение граждан жильем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color w:val="FF0000"/>
          <w:sz w:val="20"/>
          <w:szCs w:val="20"/>
          <w:lang w:eastAsia="ru-RU"/>
        </w:rPr>
        <w:t xml:space="preserve"> </w:t>
      </w:r>
    </w:p>
    <w:p w:rsidR="000F23A7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24. </w:t>
      </w: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Общая площадь жилых помещений, приходящаяся в среднем на одного жителя всего, в том числе введенная в действие за один год</w:t>
      </w:r>
    </w:p>
    <w:p w:rsidR="00C62AC4" w:rsidRDefault="00C62AC4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0D13F1" w:rsidRPr="000D13F1" w:rsidRDefault="000D13F1" w:rsidP="000D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D13F1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 в 2022 году составила</w:t>
      </w:r>
      <w:proofErr w:type="gramEnd"/>
      <w:r w:rsidRPr="000D13F1">
        <w:rPr>
          <w:rFonts w:ascii="Times New Roman CYR" w:hAnsi="Times New Roman CYR" w:cs="Times New Roman CYR"/>
          <w:sz w:val="28"/>
          <w:szCs w:val="28"/>
        </w:rPr>
        <w:t xml:space="preserve"> 30,6 кв. м. По сравнению с 2021 годом произошло увеличение, которое связано с введением в эксплуатацию площади индивидуального жилищного строительства.</w:t>
      </w:r>
    </w:p>
    <w:p w:rsidR="000D13F1" w:rsidRDefault="000D13F1" w:rsidP="000D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219"/>
        <w:gridCol w:w="1219"/>
        <w:gridCol w:w="1219"/>
        <w:gridCol w:w="1219"/>
        <w:gridCol w:w="1219"/>
      </w:tblGrid>
      <w:tr w:rsidR="000D13F1" w:rsidTr="00BB0610">
        <w:trPr>
          <w:trHeight w:val="5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0D13F1" w:rsidTr="00BB0610">
        <w:trPr>
          <w:trHeight w:val="55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2021 факт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2022 отчет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2023 оценка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2024 прогноз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BB0610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BB061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2025 прогноз</w:t>
            </w:r>
          </w:p>
        </w:tc>
      </w:tr>
      <w:tr w:rsidR="000D13F1" w:rsidTr="00BB061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656 920,00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656 840,00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662 327,51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667 477,51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672 627,51</w:t>
            </w:r>
          </w:p>
        </w:tc>
      </w:tr>
      <w:tr w:rsidR="000D13F1" w:rsidTr="00BB061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5 150,00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6 153,51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5150,00</w:t>
            </w:r>
          </w:p>
        </w:tc>
      </w:tr>
      <w:tr w:rsidR="000D13F1" w:rsidTr="00BB061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2 914,00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D13F1" w:rsidTr="00BB061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>
              <w:rPr>
                <w:rFonts w:ascii="Times New Roman CYR" w:hAnsi="Times New Roman CYR" w:cs="Times New Roman CYR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0D13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</w:t>
            </w:r>
            <w:r w:rsidRPr="000D13F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D13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21466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21271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20883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20450</w:t>
            </w:r>
          </w:p>
        </w:tc>
      </w:tr>
      <w:tr w:rsidR="000D13F1" w:rsidTr="00BB0610">
        <w:trPr>
          <w:trHeight w:val="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32,89</w:t>
            </w:r>
          </w:p>
        </w:tc>
      </w:tr>
    </w:tbl>
    <w:p w:rsidR="00F12658" w:rsidRPr="001D31A8" w:rsidRDefault="00F12658" w:rsidP="000F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</w:pPr>
    </w:p>
    <w:p w:rsidR="00F12658" w:rsidRPr="001D31A8" w:rsidRDefault="000F7BB9" w:rsidP="00A9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</w:pP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  <w:t xml:space="preserve">24.1 </w:t>
      </w:r>
      <w:r w:rsidR="000F23A7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  <w:t>Общая площадь жилых помещений, приходящихся в среднем на одного жите</w:t>
      </w:r>
      <w:r w:rsidR="00F12658"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  <w:t xml:space="preserve">ля, введенная в действие за </w:t>
      </w:r>
      <w:r w:rsidRPr="001D31A8"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  <w:t xml:space="preserve"> год</w:t>
      </w:r>
    </w:p>
    <w:p w:rsidR="00C00AA0" w:rsidRPr="001D31A8" w:rsidRDefault="00C00AA0" w:rsidP="00A9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u w:color="FF0000"/>
          <w:lang w:eastAsia="ru-RU"/>
        </w:rPr>
      </w:pPr>
    </w:p>
    <w:p w:rsidR="00C62AC4" w:rsidRDefault="000D13F1" w:rsidP="00ED3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13F1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приходящихся в среднем на одного жителя, введенная в действие за 2022 год составил 0,24 кв. м. По сравнению с 2021 годом показатель уменьшился. Это связано с уменьшением вновь построенного и введенного в эксплуатацию жилья (в 2022 году – 5150, в 2021 году – 6984).</w:t>
      </w:r>
    </w:p>
    <w:p w:rsidR="00ED391D" w:rsidRDefault="00ED391D" w:rsidP="000D13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13F1" w:rsidRDefault="000D13F1" w:rsidP="000D13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r w:rsidRPr="000D13F1">
        <w:rPr>
          <w:rFonts w:ascii="Times New Roman CYR" w:hAnsi="Times New Roman CYR" w:cs="Times New Roman CYR"/>
          <w:sz w:val="28"/>
          <w:szCs w:val="28"/>
        </w:rPr>
        <w:t xml:space="preserve">Ввод жилья, </w:t>
      </w:r>
      <w:proofErr w:type="spellStart"/>
      <w:r w:rsidRPr="000D13F1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0D13F1">
        <w:rPr>
          <w:rFonts w:ascii="Times New Roman CYR" w:hAnsi="Times New Roman CYR" w:cs="Times New Roman CYR"/>
          <w:sz w:val="28"/>
          <w:szCs w:val="28"/>
        </w:rPr>
        <w:t>.</w:t>
      </w:r>
    </w:p>
    <w:p w:rsidR="00BB0610" w:rsidRPr="000D13F1" w:rsidRDefault="00BB0610" w:rsidP="000D13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105"/>
        <w:gridCol w:w="1106"/>
        <w:gridCol w:w="1105"/>
        <w:gridCol w:w="1106"/>
        <w:gridCol w:w="1106"/>
      </w:tblGrid>
      <w:tr w:rsidR="000D13F1" w:rsidRPr="00ED391D" w:rsidTr="00BB061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2021 </w:t>
            </w:r>
          </w:p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2022</w:t>
            </w:r>
          </w:p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отчет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 xml:space="preserve">2023              </w:t>
            </w:r>
          </w:p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оценка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2024 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u w:color="FF0000"/>
              </w:rPr>
              <w:t>2025  прогноз</w:t>
            </w:r>
          </w:p>
        </w:tc>
      </w:tr>
      <w:tr w:rsidR="000D13F1" w:rsidRPr="00ED391D" w:rsidTr="00BB0610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Введено 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6 984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6153,51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</w:tr>
      <w:tr w:rsidR="000D13F1" w:rsidRPr="00ED391D" w:rsidTr="00BB0610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индивидуальное жилищное строительство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4 070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5150</w:t>
            </w:r>
          </w:p>
        </w:tc>
      </w:tr>
      <w:tr w:rsidR="000D13F1" w:rsidRPr="00ED391D" w:rsidTr="00BB0610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u w:color="FF0000"/>
              </w:rPr>
              <w:t>многоквартирное строительство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2 914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1003,51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0D13F1" w:rsidRPr="00ED391D" w:rsidTr="00BB0610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21 774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21658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21271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20883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20450</w:t>
            </w:r>
          </w:p>
        </w:tc>
      </w:tr>
      <w:tr w:rsidR="000D13F1" w:rsidRPr="00ED391D" w:rsidTr="00BB0610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  <w:u w:color="FF000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u w:color="FF0000"/>
              </w:rPr>
              <w:t>Общая площадь жилых помещений, приходящихся в среднем на одного жителя, введенная в действие в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F1" w:rsidRPr="00ED391D" w:rsidRDefault="000D13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0,25</w:t>
            </w:r>
          </w:p>
        </w:tc>
      </w:tr>
    </w:tbl>
    <w:p w:rsidR="00BB0610" w:rsidRDefault="00BB0610" w:rsidP="000D1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D13F1" w:rsidRPr="00BB0610" w:rsidRDefault="000D13F1" w:rsidP="000D1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BB0610">
        <w:rPr>
          <w:rFonts w:ascii="Times New Roman CYR" w:hAnsi="Times New Roman CYR" w:cs="Times New Roman CYR"/>
          <w:sz w:val="28"/>
          <w:szCs w:val="28"/>
          <w:u w:color="FF0000"/>
        </w:rPr>
        <w:t>В период с 2023-2025 строительство индивидуального жилища планируется на уровне показателя 2022 года. Многоквартирное строительство планируется в соответствии региональной адресной программой «Переселение граждан из аварийного жилищного фонда в Красноярском крае» на 2019-2025 годы.</w:t>
      </w:r>
    </w:p>
    <w:p w:rsidR="00BB0610" w:rsidRPr="00C62AC4" w:rsidRDefault="00BB0610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25.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F534FE" w:rsidRPr="00C62AC4" w:rsidRDefault="00F534FE" w:rsidP="000F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BB0610" w:rsidRPr="00BB0610" w:rsidRDefault="00BB0610" w:rsidP="00BB0610">
      <w:pPr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 CYR" w:hAnsi="Times New Roman CYR" w:cs="Times New Roman CYR"/>
          <w:sz w:val="28"/>
          <w:szCs w:val="28"/>
        </w:rPr>
      </w:pPr>
      <w:r w:rsidRPr="00BB0610">
        <w:rPr>
          <w:rFonts w:ascii="Times New Roman CYR" w:hAnsi="Times New Roman CYR" w:cs="Times New Roman CYR"/>
          <w:sz w:val="28"/>
          <w:szCs w:val="28"/>
        </w:rPr>
        <w:t xml:space="preserve">Показатель 25 «Площадь земельных участков, предоставленных для строительства, в расчете на 10 тыс. человек населения – всего» за 2022 год увеличился в сравнении с 2021 годом и составляет 7,33 га. </w:t>
      </w:r>
      <w:proofErr w:type="gramStart"/>
      <w:r w:rsidRPr="00BB0610">
        <w:rPr>
          <w:rFonts w:ascii="Times New Roman CYR" w:hAnsi="Times New Roman CYR" w:cs="Times New Roman CYR"/>
          <w:sz w:val="28"/>
          <w:szCs w:val="28"/>
        </w:rPr>
        <w:t xml:space="preserve">Основное увеличение в 2022 году связано с ростом поступлений заявлений на заключение договоров аренды земельных участков для строительства, в том числе для строительства объектов, не являющихся объектами  жилищного строительства, таких как магазины,  нежилые здания  и сооружения технического сервиса, гаражи,  нежилые здания  </w:t>
      </w:r>
      <w:proofErr w:type="spellStart"/>
      <w:r w:rsidRPr="00BB0610">
        <w:rPr>
          <w:rFonts w:ascii="Times New Roman CYR" w:hAnsi="Times New Roman CYR" w:cs="Times New Roman CYR"/>
          <w:sz w:val="28"/>
          <w:szCs w:val="28"/>
        </w:rPr>
        <w:t>свинокомплекса</w:t>
      </w:r>
      <w:proofErr w:type="spellEnd"/>
      <w:r w:rsidRPr="00BB0610">
        <w:rPr>
          <w:rFonts w:ascii="Times New Roman CYR" w:hAnsi="Times New Roman CYR" w:cs="Times New Roman CYR"/>
          <w:sz w:val="28"/>
          <w:szCs w:val="28"/>
        </w:rPr>
        <w:t xml:space="preserve"> и убойного цеха, а так же индивидуального жилищного строительства.</w:t>
      </w:r>
      <w:proofErr w:type="gramEnd"/>
      <w:r w:rsidRPr="00BB0610">
        <w:rPr>
          <w:rFonts w:ascii="Times New Roman CYR" w:hAnsi="Times New Roman CYR" w:cs="Times New Roman CYR"/>
          <w:sz w:val="28"/>
          <w:szCs w:val="28"/>
        </w:rPr>
        <w:t xml:space="preserve">  В связи с тем, что предоставление земельных участков в аренду носит заявительный характер и с учетом прогнозируемого спада среднегодовой численности постоянного населения, прогноз на 2023-2025 гг. имеет невысокую динамику роста.</w:t>
      </w:r>
    </w:p>
    <w:p w:rsidR="00BB0610" w:rsidRPr="00BB0610" w:rsidRDefault="00BB0610" w:rsidP="00C62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0610">
        <w:rPr>
          <w:rFonts w:ascii="Times New Roman CYR" w:hAnsi="Times New Roman CYR" w:cs="Times New Roman CYR"/>
          <w:sz w:val="28"/>
          <w:szCs w:val="28"/>
        </w:rPr>
        <w:t>Показатель 25.1 «Площадь земельных участков, предоставленных для жилищного строительства,  индивидуального строительства и комплексного освоения в целях жилищного строительства» за 2022 год (4,63 га) уменьшился в сравнении с 2021 годом, что связано с зафиксированным ростом оформления земельных участков в собственность (увеличение договоров купли-продажи земельных участков под ИЖС).</w:t>
      </w:r>
    </w:p>
    <w:p w:rsidR="00BB0610" w:rsidRDefault="00BB0610" w:rsidP="00C62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0610">
        <w:rPr>
          <w:rFonts w:ascii="Times New Roman CYR" w:hAnsi="Times New Roman CYR" w:cs="Times New Roman CYR"/>
          <w:sz w:val="28"/>
          <w:szCs w:val="28"/>
        </w:rPr>
        <w:t xml:space="preserve">Общая площадь фактически предоставленных в аренду для ИЖС земельных участков в 2022 году составила 100 373,00 кв. м (10,04 га). </w:t>
      </w:r>
    </w:p>
    <w:p w:rsidR="00BB0610" w:rsidRPr="00BB0610" w:rsidRDefault="00BB0610" w:rsidP="00BB06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610" w:rsidRPr="00BB0610" w:rsidRDefault="00BB0610" w:rsidP="00BB06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BB0610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Показатели эффективности деятельности ОМСУ (Указ президента 607)</w:t>
      </w:r>
    </w:p>
    <w:p w:rsidR="00BB0610" w:rsidRDefault="00BB0610" w:rsidP="00BB06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992"/>
        <w:gridCol w:w="992"/>
        <w:gridCol w:w="992"/>
      </w:tblGrid>
      <w:tr w:rsidR="00BB0610" w:rsidRPr="00ED391D" w:rsidTr="00ED391D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  <w:bCs/>
              </w:rPr>
              <w:t>Площадь предоставленных земельных участков</w:t>
            </w:r>
            <w:r w:rsidRPr="00ED391D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ED391D">
              <w:rPr>
                <w:rFonts w:ascii="Times New Roman" w:hAnsi="Times New Roman" w:cs="Times New Roman"/>
                <w:b/>
                <w:bCs/>
              </w:rPr>
              <w:t>Га</w:t>
            </w:r>
            <w:proofErr w:type="gramEnd"/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предыдущий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391D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всего:</w:t>
            </w: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 xml:space="preserve">      в том числе (</w:t>
            </w:r>
            <w:proofErr w:type="gramStart"/>
            <w:r w:rsidRPr="00ED391D">
              <w:rPr>
                <w:rFonts w:ascii="Times New Roman" w:hAnsi="Times New Roman" w:cs="Times New Roman"/>
              </w:rPr>
              <w:t>га</w:t>
            </w:r>
            <w:proofErr w:type="gramEnd"/>
            <w:r w:rsidRPr="00ED39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16,10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 xml:space="preserve">для жилищного строительства (в </w:t>
            </w:r>
            <w:proofErr w:type="spellStart"/>
            <w:r w:rsidRPr="00ED391D">
              <w:rPr>
                <w:rFonts w:ascii="Times New Roman" w:hAnsi="Times New Roman" w:cs="Times New Roman"/>
              </w:rPr>
              <w:t>т.ч</w:t>
            </w:r>
            <w:proofErr w:type="spellEnd"/>
            <w:r w:rsidRPr="00ED391D">
              <w:rPr>
                <w:rFonts w:ascii="Times New Roman" w:hAnsi="Times New Roman" w:cs="Times New Roman"/>
              </w:rPr>
              <w:t>. для   ИЖС) (га)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12,61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10,10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для комплексного освоения в целях жилищного строительства (</w:t>
            </w:r>
            <w:proofErr w:type="gramStart"/>
            <w:r w:rsidRPr="00ED391D">
              <w:rPr>
                <w:rFonts w:ascii="Times New Roman" w:hAnsi="Times New Roman" w:cs="Times New Roman"/>
              </w:rPr>
              <w:t>га</w:t>
            </w:r>
            <w:proofErr w:type="gramEnd"/>
            <w:r w:rsidRPr="00ED39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для строительства объектов, не являющихся объектами жилищного строительства (</w:t>
            </w:r>
            <w:proofErr w:type="gramStart"/>
            <w:r w:rsidRPr="00ED391D">
              <w:rPr>
                <w:rFonts w:ascii="Times New Roman" w:hAnsi="Times New Roman" w:cs="Times New Roman"/>
              </w:rPr>
              <w:t>га</w:t>
            </w:r>
            <w:proofErr w:type="gramEnd"/>
            <w:r w:rsidRPr="00ED39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Среднегодовая численность постоянного населения муниципального района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21774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21685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21 271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20 883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91D">
              <w:rPr>
                <w:rFonts w:ascii="Times New Roman" w:hAnsi="Times New Roman" w:cs="Times New Roman"/>
                <w:color w:val="000000"/>
              </w:rPr>
              <w:t>20 450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 расчете на 10 тыс. человек населения – всего (</w:t>
            </w:r>
            <w:proofErr w:type="gramStart"/>
            <w:r w:rsidRPr="00ED391D">
              <w:rPr>
                <w:rFonts w:ascii="Times New Roman" w:hAnsi="Times New Roman" w:cs="Times New Roman"/>
              </w:rPr>
              <w:t>га</w:t>
            </w:r>
            <w:proofErr w:type="gramEnd"/>
            <w:r w:rsidRPr="00ED39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7,87</w:t>
            </w:r>
          </w:p>
        </w:tc>
      </w:tr>
      <w:tr w:rsidR="00BB0610" w:rsidRPr="00ED391D" w:rsidTr="00ED391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91D">
              <w:rPr>
                <w:rFonts w:ascii="Times New Roman" w:hAnsi="Times New Roman" w:cs="Times New Roman"/>
              </w:rPr>
              <w:t xml:space="preserve">Площадь земельных участков, </w:t>
            </w:r>
            <w:r w:rsidRPr="00ED391D">
              <w:rPr>
                <w:rFonts w:ascii="Times New Roman" w:hAnsi="Times New Roman" w:cs="Times New Roman"/>
              </w:rPr>
              <w:lastRenderedPageBreak/>
              <w:t>предоставленных  для жилищного строительства, индивидуального строительства и комплексного  освоения в целях жилищного строительства, в расчете на 10 тыс. человек населения (</w:t>
            </w:r>
            <w:proofErr w:type="gramStart"/>
            <w:r w:rsidRPr="00ED391D">
              <w:rPr>
                <w:rFonts w:ascii="Times New Roman" w:hAnsi="Times New Roman" w:cs="Times New Roman"/>
              </w:rPr>
              <w:t>га</w:t>
            </w:r>
            <w:proofErr w:type="gramEnd"/>
            <w:r w:rsidRPr="00ED39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610" w:rsidRPr="00ED391D" w:rsidRDefault="00BB0610" w:rsidP="00B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91D">
              <w:rPr>
                <w:rFonts w:ascii="Times New Roman" w:hAnsi="Times New Roman" w:cs="Times New Roman"/>
                <w:b/>
                <w:bCs/>
                <w:color w:val="000000"/>
              </w:rPr>
              <w:t>4,94</w:t>
            </w:r>
          </w:p>
        </w:tc>
      </w:tr>
    </w:tbl>
    <w:p w:rsidR="00A931EB" w:rsidRPr="00C62AC4" w:rsidRDefault="00A931EB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C62AC4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26.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с даты принятия</w:t>
      </w:r>
      <w:proofErr w:type="gramEnd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26.1.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объектов жилищного строительства - в течение 3 лет</w:t>
      </w:r>
    </w:p>
    <w:p w:rsidR="00C62AC4" w:rsidRDefault="00C62AC4" w:rsidP="00054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F534FE" w:rsidRPr="001D31A8" w:rsidRDefault="00F534FE" w:rsidP="00054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  <w:u w:color="FF0000"/>
        </w:rPr>
      </w:pPr>
      <w:r w:rsidRPr="0005400C">
        <w:rPr>
          <w:rFonts w:ascii="Times New Roman CYR" w:hAnsi="Times New Roman CYR" w:cs="Times New Roman CYR"/>
          <w:sz w:val="28"/>
          <w:szCs w:val="28"/>
          <w:u w:color="FF0000"/>
        </w:rPr>
        <w:t xml:space="preserve">Данных случаев на территории Енисейского района за отчетный </w:t>
      </w:r>
      <w:r w:rsidR="00B92AE1" w:rsidRPr="0005400C">
        <w:rPr>
          <w:rFonts w:ascii="Times New Roman CYR" w:hAnsi="Times New Roman CYR" w:cs="Times New Roman CYR"/>
          <w:sz w:val="28"/>
          <w:szCs w:val="28"/>
          <w:u w:color="FF0000"/>
        </w:rPr>
        <w:t>202</w:t>
      </w:r>
      <w:r w:rsidR="0005400C" w:rsidRPr="0005400C"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r w:rsidRPr="0005400C">
        <w:rPr>
          <w:rFonts w:ascii="Times New Roman CYR" w:hAnsi="Times New Roman CYR" w:cs="Times New Roman CYR"/>
          <w:sz w:val="28"/>
          <w:szCs w:val="28"/>
          <w:u w:color="FF0000"/>
        </w:rPr>
        <w:t xml:space="preserve"> год  для объектов капитального строительства зафиксировано не было.</w:t>
      </w:r>
      <w:r w:rsidRPr="001D31A8">
        <w:rPr>
          <w:rFonts w:ascii="Times New Roman CYR" w:hAnsi="Times New Roman CYR" w:cs="Times New Roman CYR"/>
          <w:sz w:val="28"/>
          <w:szCs w:val="28"/>
          <w:u w:color="FF0000"/>
        </w:rPr>
        <w:t xml:space="preserve">  </w:t>
      </w:r>
    </w:p>
    <w:p w:rsidR="002523F6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26.2.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иных объектов капитального строительства - в течение 5 лет</w:t>
      </w:r>
    </w:p>
    <w:p w:rsidR="00C62AC4" w:rsidRDefault="00C62AC4" w:rsidP="00054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2523F6" w:rsidRPr="001D31A8" w:rsidRDefault="00F534FE" w:rsidP="00054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05400C">
        <w:rPr>
          <w:rFonts w:ascii="Times New Roman CYR" w:hAnsi="Times New Roman CYR" w:cs="Times New Roman CYR"/>
          <w:sz w:val="28"/>
          <w:szCs w:val="28"/>
          <w:u w:color="FF0000"/>
        </w:rPr>
        <w:t>Данных случаев на территории Ени</w:t>
      </w:r>
      <w:r w:rsidR="00B92AE1" w:rsidRPr="0005400C">
        <w:rPr>
          <w:rFonts w:ascii="Times New Roman CYR" w:hAnsi="Times New Roman CYR" w:cs="Times New Roman CYR"/>
          <w:sz w:val="28"/>
          <w:szCs w:val="28"/>
          <w:u w:color="FF0000"/>
        </w:rPr>
        <w:t>сейского района за отчетный 202</w:t>
      </w:r>
      <w:r w:rsidR="0005400C" w:rsidRPr="0005400C"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r w:rsidRPr="0005400C">
        <w:rPr>
          <w:rFonts w:ascii="Times New Roman CYR" w:hAnsi="Times New Roman CYR" w:cs="Times New Roman CYR"/>
          <w:sz w:val="28"/>
          <w:szCs w:val="28"/>
          <w:u w:color="FF0000"/>
        </w:rPr>
        <w:t xml:space="preserve"> год  для объектов капитального строительства зафиксировано не было.</w:t>
      </w:r>
    </w:p>
    <w:p w:rsidR="00F534FE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C62AC4" w:rsidRPr="0005400C" w:rsidRDefault="00C62AC4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F5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VII.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Жилищно-коммунальное хозяйство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27.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2523F6" w:rsidRPr="001D31A8" w:rsidRDefault="002523F6" w:rsidP="000F23A7">
      <w:p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05400C" w:rsidRPr="0005400C" w:rsidRDefault="0005400C" w:rsidP="0005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том числе многоквартирных домов, в которых собственники помещений должны выбрать способ управления данными домами составляет:</w:t>
      </w:r>
    </w:p>
    <w:p w:rsidR="0005400C" w:rsidRPr="0005400C" w:rsidRDefault="0005400C" w:rsidP="0005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- за отчетный период 2022 год –100%;</w:t>
      </w:r>
    </w:p>
    <w:p w:rsidR="0005400C" w:rsidRPr="0005400C" w:rsidRDefault="0005400C" w:rsidP="0005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- прогнозирование на плановый период 2023-2025 годы – 100%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534FE" w:rsidRDefault="00F534FE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28.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о-</w:t>
      </w:r>
      <w:proofErr w:type="gramEnd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lastRenderedPageBreak/>
        <w:t xml:space="preserve">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осуществляющих</w:t>
      </w:r>
      <w:proofErr w:type="gramEnd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 xml:space="preserve"> свою деятельность на территории городского округа (муниципального района)</w:t>
      </w:r>
    </w:p>
    <w:p w:rsidR="002523F6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  <w:r w:rsidRPr="001D31A8"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  <w:tab/>
      </w:r>
    </w:p>
    <w:p w:rsidR="0005400C" w:rsidRPr="0005400C" w:rsidRDefault="0005400C" w:rsidP="0005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5400C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05400C">
        <w:rPr>
          <w:rFonts w:ascii="Times New Roman CYR" w:hAnsi="Times New Roman CYR" w:cs="Times New Roman CYR"/>
          <w:sz w:val="28"/>
          <w:szCs w:val="28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05400C">
        <w:rPr>
          <w:rFonts w:ascii="Times New Roman CYR" w:hAnsi="Times New Roman CYR" w:cs="Times New Roman CYR"/>
          <w:sz w:val="28"/>
          <w:szCs w:val="28"/>
        </w:rPr>
        <w:t>осуществляющих</w:t>
      </w:r>
      <w:proofErr w:type="gramEnd"/>
      <w:r w:rsidRPr="0005400C">
        <w:rPr>
          <w:rFonts w:ascii="Times New Roman CYR" w:hAnsi="Times New Roman CYR" w:cs="Times New Roman CYR"/>
          <w:sz w:val="28"/>
          <w:szCs w:val="28"/>
        </w:rPr>
        <w:t xml:space="preserve"> свою деятельность на территории городского округа (муниципального района) составляет:</w:t>
      </w:r>
    </w:p>
    <w:p w:rsidR="0005400C" w:rsidRPr="0005400C" w:rsidRDefault="0005400C" w:rsidP="0005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- за отчетный период 2022 год – 100%;</w:t>
      </w:r>
    </w:p>
    <w:p w:rsidR="0005400C" w:rsidRPr="0005400C" w:rsidRDefault="0005400C" w:rsidP="0005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>- прогнозирование на плановый период 2023-2025 годы – 100%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5400C" w:rsidRPr="00C62AC4" w:rsidRDefault="0005400C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29.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5B262F" w:rsidRPr="001D31A8" w:rsidRDefault="005B262F" w:rsidP="005B2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05400C" w:rsidRPr="0005400C" w:rsidRDefault="0005400C" w:rsidP="0005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 xml:space="preserve">Показатель увеличивается за счет постановки на кадастровый учет земельных участков под многоквартирными домами, а так же, строящихся домов на территории Енисейского района по региональной адресной программе «Переселение граждан из аварийного жилищного фонда в Красноярском крае» на 2019-2025 годы  утвержденной  постановлением Правительства Красноярского края от 29.03.2019 № 144-п. </w:t>
      </w:r>
    </w:p>
    <w:p w:rsidR="0005400C" w:rsidRDefault="0005400C" w:rsidP="0005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1077"/>
        <w:gridCol w:w="1077"/>
        <w:gridCol w:w="1077"/>
        <w:gridCol w:w="1077"/>
        <w:gridCol w:w="1078"/>
      </w:tblGrid>
      <w:tr w:rsidR="0005400C" w:rsidRPr="00ED391D" w:rsidTr="0005400C">
        <w:trPr>
          <w:trHeight w:val="28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Значения показателя</w:t>
            </w:r>
          </w:p>
        </w:tc>
      </w:tr>
      <w:tr w:rsidR="0005400C" w:rsidRPr="00ED391D" w:rsidTr="0005400C">
        <w:trPr>
          <w:trHeight w:val="55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2021 факт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2022 факт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2023 оценка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2024 прогноз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2025 прогноз</w:t>
            </w:r>
          </w:p>
        </w:tc>
      </w:tr>
      <w:tr w:rsidR="0005400C" w:rsidRPr="00ED391D" w:rsidTr="0005400C">
        <w:trPr>
          <w:trHeight w:val="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1.  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192</w:t>
            </w:r>
          </w:p>
        </w:tc>
      </w:tr>
      <w:tr w:rsidR="0005400C" w:rsidRPr="00ED391D" w:rsidTr="0005400C">
        <w:trPr>
          <w:trHeight w:val="11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2.   Общее число многоквартирных домов по состоянию на конец отчетного периода, единиц (по данным статистического отчета 1-жилфонд строка 01 графа 6)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192</w:t>
            </w:r>
          </w:p>
        </w:tc>
      </w:tr>
      <w:tr w:rsidR="0005400C" w:rsidRPr="00ED391D" w:rsidTr="0005400C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3.  Доля многоквартирных домов, расположенных на земельных участках, в отношении которых осуществлен государственный кадастровый учет, % (стр. /стр.2*100)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90,48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94,71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97,37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98,96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0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100,00</w:t>
            </w:r>
          </w:p>
        </w:tc>
      </w:tr>
    </w:tbl>
    <w:p w:rsidR="0005400C" w:rsidRPr="00C62AC4" w:rsidRDefault="0005400C" w:rsidP="0005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30. </w:t>
      </w:r>
      <w:proofErr w:type="gramStart"/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B92AE1" w:rsidRPr="001D31A8" w:rsidRDefault="00B92AE1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</w:p>
    <w:p w:rsidR="0005400C" w:rsidRPr="0005400C" w:rsidRDefault="0005400C" w:rsidP="0005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5400C">
        <w:rPr>
          <w:rFonts w:ascii="Times New Roman CYR" w:hAnsi="Times New Roman CYR" w:cs="Times New Roman CYR"/>
          <w:sz w:val="28"/>
          <w:szCs w:val="28"/>
        </w:rPr>
        <w:t xml:space="preserve">Доля населения, получившего жилые помещения и улучшившего жилищные  условия в отчетном году в общей численности населения, состоящего на учете в качестве нуждающегося в жилых помещениях  за 2022 год составил   </w:t>
      </w:r>
      <w:r w:rsidR="000F629C">
        <w:rPr>
          <w:rFonts w:ascii="Times New Roman CYR" w:hAnsi="Times New Roman CYR" w:cs="Times New Roman CYR"/>
          <w:sz w:val="28"/>
          <w:szCs w:val="28"/>
        </w:rPr>
        <w:t>18,38</w:t>
      </w:r>
      <w:r w:rsidRPr="0005400C">
        <w:rPr>
          <w:rFonts w:ascii="Times New Roman CYR" w:hAnsi="Times New Roman CYR" w:cs="Times New Roman CYR"/>
          <w:sz w:val="28"/>
          <w:szCs w:val="28"/>
        </w:rPr>
        <w:t>%.</w:t>
      </w:r>
      <w:proofErr w:type="gramEnd"/>
    </w:p>
    <w:p w:rsidR="0005400C" w:rsidRPr="0005400C" w:rsidRDefault="0005400C" w:rsidP="0005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400C">
        <w:rPr>
          <w:rFonts w:ascii="Times New Roman CYR" w:hAnsi="Times New Roman CYR" w:cs="Times New Roman CYR"/>
          <w:sz w:val="28"/>
          <w:szCs w:val="28"/>
        </w:rPr>
        <w:tab/>
        <w:t xml:space="preserve">Данный показатель уменьшился по сравнению с прошлым годом в связи с тем, что в 2022 году  на территории Енисейского района  не строились МКД  по  региональной адресной программе утвержденной постановлением Правительства Красноярского края от 29.03.2019 № 144-п «Переселение граждан из аварийного жилищного фонда в Красноярском крае» на 2019-2025 годы.  </w:t>
      </w:r>
    </w:p>
    <w:p w:rsidR="0005400C" w:rsidRPr="0005400C" w:rsidRDefault="0005400C" w:rsidP="0005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В 2023-2025 г</w:t>
      </w:r>
      <w:r w:rsidRPr="0005400C">
        <w:rPr>
          <w:rFonts w:ascii="Times New Roman CYR" w:hAnsi="Times New Roman CYR" w:cs="Times New Roman CYR"/>
          <w:sz w:val="28"/>
          <w:szCs w:val="28"/>
        </w:rPr>
        <w:t>г.  планируется еще строительство многоквартирных жилых домов по  региональной адресной программе утвержденной постановлением Правительства Красноярского края от 29.03.2019 № 144-п «Переселение граждан из аварийного жилищного фонда в Красноярском крае» на 2019-2025 годы.</w:t>
      </w:r>
    </w:p>
    <w:p w:rsidR="0005400C" w:rsidRDefault="0005400C" w:rsidP="000540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077"/>
        <w:gridCol w:w="1077"/>
        <w:gridCol w:w="1077"/>
        <w:gridCol w:w="1077"/>
        <w:gridCol w:w="1078"/>
      </w:tblGrid>
      <w:tr w:rsidR="0005400C" w:rsidRPr="00ED391D" w:rsidTr="0005400C">
        <w:trPr>
          <w:trHeight w:val="28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Значения показателя</w:t>
            </w:r>
          </w:p>
        </w:tc>
      </w:tr>
      <w:tr w:rsidR="0005400C" w:rsidRPr="00ED391D" w:rsidTr="0005400C">
        <w:trPr>
          <w:trHeight w:val="55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2021 факт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2022 факт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2023 оценка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2024 прогноз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color w:val="000000"/>
              </w:rPr>
              <w:t>2025 прогноз</w:t>
            </w:r>
          </w:p>
        </w:tc>
      </w:tr>
      <w:tr w:rsidR="0005400C" w:rsidRPr="00ED391D" w:rsidTr="0005400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договору социального найма в отчетном году</w:t>
            </w:r>
            <w:r w:rsidRPr="00ED391D">
              <w:rPr>
                <w:rFonts w:ascii="Times New Roman CYR" w:hAnsi="Times New Roman CYR" w:cs="Times New Roman CYR"/>
                <w:color w:val="000000"/>
              </w:rPr>
              <w:t>, чел.</w:t>
            </w:r>
            <w:r w:rsidRPr="00ED391D">
              <w:rPr>
                <w:rFonts w:ascii="Times New Roman CYR" w:hAnsi="Times New Roman CYR" w:cs="Times New Roman CYR"/>
                <w:color w:val="000000"/>
              </w:rPr>
              <w:br/>
            </w:r>
            <w:r w:rsidRPr="00ED391D">
              <w:rPr>
                <w:rFonts w:ascii="Times New Roman CYR" w:hAnsi="Times New Roman CYR" w:cs="Times New Roman CYR"/>
                <w:i/>
                <w:iCs/>
                <w:color w:val="000000"/>
              </w:rPr>
              <w:t>(по данным статистического отчета 4-жилфонд строка 04 графа 3)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</w:tr>
      <w:tr w:rsidR="0005400C" w:rsidRPr="00ED391D" w:rsidTr="0005400C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договорам социального найма на конец прошлого года</w:t>
            </w:r>
            <w:r w:rsidRPr="00ED391D">
              <w:rPr>
                <w:rFonts w:ascii="Times New Roman CYR" w:hAnsi="Times New Roman CYR" w:cs="Times New Roman CYR"/>
                <w:color w:val="000000"/>
              </w:rPr>
              <w:t>, чел. *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F629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color w:val="000000"/>
              </w:rPr>
              <w:t>254</w:t>
            </w:r>
          </w:p>
        </w:tc>
      </w:tr>
      <w:tr w:rsidR="0005400C" w:rsidRPr="00ED391D" w:rsidTr="0005400C">
        <w:trPr>
          <w:trHeight w:val="15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gramStart"/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3.Доля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30,04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F629C" w:rsidP="00ED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18,38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5,84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8,27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0C" w:rsidRPr="00ED391D" w:rsidRDefault="0005400C" w:rsidP="00ED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  <w:color w:val="000000"/>
              </w:rPr>
              <w:t>7,09</w:t>
            </w:r>
          </w:p>
        </w:tc>
      </w:tr>
    </w:tbl>
    <w:p w:rsidR="00D42EE9" w:rsidRDefault="00D42EE9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2AC4" w:rsidRPr="00E875B3" w:rsidRDefault="00C62AC4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3A7" w:rsidRPr="001D31A8" w:rsidRDefault="000F23A7" w:rsidP="00F5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VIII.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Организация муниципального управления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31.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E875B3" w:rsidRDefault="00E875B3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75B3" w:rsidRDefault="00E875B3" w:rsidP="00E87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Всего объем собственных доходов бюджета Енисейского района (без учета субвенций) составил на 01.01.2023г. 1 657 293,88 тыс. рублей. Налоговые и неналоговые доходы на 01.01.2023 года поступили в сумме              205 947,79 тыс. рублей.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за 2022 года составила 12,43%.</w:t>
      </w:r>
    </w:p>
    <w:p w:rsidR="00E875B3" w:rsidRDefault="00E875B3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Всего на 2023 год (оценка по состоянию на 01 апреля 2023 года) запланированный объем  собственных доходов бюджета Енисейского района (без учета субвенций) – 1 682 832,14 тыс. рублей. Налоговые  и неналоговые доходы – 251 775,91тыс. рублей.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субвенций)- 14,96%.</w:t>
      </w:r>
    </w:p>
    <w:p w:rsidR="00E875B3" w:rsidRDefault="00E875B3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Всего на 2024</w:t>
      </w:r>
      <w:r w:rsidR="008D2F4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 (прогноз) запланированный объем  собственных доходов бюджета Енисейского района (без учета субвенций)–                                       1 154 818,00 тыс. рублей. Налоговые и неналоговые доходы 261 792,60 тыс. рублей.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- 22,67 %.</w:t>
      </w:r>
    </w:p>
    <w:p w:rsidR="00E875B3" w:rsidRDefault="00E875B3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Всего на 2025 год (прогноз) запланированный объем собственных доходов бюджета Енисейского района (без учета субвенций) –                                       1 181 854,20 тыс. рублей. Налоговые  и неналоговые доходы 271 594,60 тыс. рублей.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- 22,98%.</w:t>
      </w:r>
    </w:p>
    <w:p w:rsidR="000F23A7" w:rsidRPr="001D31A8" w:rsidRDefault="000F23A7" w:rsidP="00E875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  <w:r w:rsidRPr="001D31A8">
        <w:rPr>
          <w:rFonts w:ascii="Arial CYR" w:eastAsiaTheme="minorEastAsia" w:hAnsi="Arial CYR" w:cs="Arial CYR"/>
          <w:color w:val="000000"/>
          <w:sz w:val="28"/>
          <w:szCs w:val="28"/>
          <w:u w:color="FF0000"/>
          <w:lang w:eastAsia="ru-RU"/>
        </w:rPr>
        <w:lastRenderedPageBreak/>
        <w:t xml:space="preserve">     </w:t>
      </w: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7BB9" w:rsidRPr="001D31A8" w:rsidRDefault="000F23A7" w:rsidP="00E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32.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676D0C" w:rsidRPr="001D31A8" w:rsidRDefault="00676D0C" w:rsidP="00E75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</w:p>
    <w:p w:rsidR="00E875B3" w:rsidRPr="00E875B3" w:rsidRDefault="00E875B3" w:rsidP="00E87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75B3">
        <w:rPr>
          <w:rFonts w:ascii="Times New Roman CYR" w:hAnsi="Times New Roman CYR" w:cs="Times New Roman CYR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за 2023 год составляет 0, в связи с отсутствием организаций находящихся на стадии банкротства.</w:t>
      </w:r>
    </w:p>
    <w:p w:rsidR="00676D0C" w:rsidRPr="00C62AC4" w:rsidRDefault="00676D0C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33.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2523F6" w:rsidRDefault="002523F6" w:rsidP="00A9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E875B3" w:rsidRPr="00E875B3" w:rsidRDefault="00E875B3" w:rsidP="00E87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75B3">
        <w:rPr>
          <w:rFonts w:ascii="Times New Roman CYR" w:hAnsi="Times New Roman CYR" w:cs="Times New Roman CYR"/>
          <w:sz w:val="28"/>
          <w:szCs w:val="28"/>
        </w:rPr>
        <w:t>В 2022 году незавершенное строительство в установленные сроки на территории Енисейского района отсутствует.</w:t>
      </w:r>
    </w:p>
    <w:p w:rsidR="00F43654" w:rsidRPr="001D31A8" w:rsidRDefault="00F43654" w:rsidP="000F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A931EB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34.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E75035" w:rsidRPr="001D31A8" w:rsidRDefault="00E75035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</w:p>
    <w:p w:rsidR="00803618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  <w:r w:rsidRPr="00DA042B"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  <w:t>Просроченной  кредиторской задолж</w:t>
      </w:r>
      <w:r w:rsidR="00803618" w:rsidRPr="00DA042B"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  <w:t>енности по оплате труда нет.</w:t>
      </w:r>
      <w:r w:rsidR="00803618" w:rsidRPr="001D31A8"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  <w:t xml:space="preserve">  </w:t>
      </w:r>
    </w:p>
    <w:p w:rsidR="00A931EB" w:rsidRPr="00DA042B" w:rsidRDefault="00A931EB" w:rsidP="00A93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35.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2523F6" w:rsidRPr="001D31A8" w:rsidRDefault="002523F6" w:rsidP="000F23A7">
      <w:pPr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u w:color="FF0000"/>
          <w:lang w:eastAsia="ru-RU"/>
        </w:rPr>
      </w:pPr>
    </w:p>
    <w:p w:rsidR="00F43654" w:rsidRPr="001D31A8" w:rsidRDefault="00DA042B" w:rsidP="00DA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DA042B">
        <w:rPr>
          <w:rFonts w:ascii="Times New Roman CYR" w:hAnsi="Times New Roman CYR" w:cs="Times New Roman CYR"/>
          <w:sz w:val="28"/>
          <w:szCs w:val="28"/>
        </w:rPr>
        <w:t>Расходы на содержание органов местного самоуправления учтены в соответствии с рекомендациями по отражению данного показателя. Расходы на 2024-2025 годы рассчитаны на основе базового объема расходов местных бюджетов 2023 год.</w:t>
      </w:r>
    </w:p>
    <w:p w:rsidR="000F23A7" w:rsidRPr="00DA042B" w:rsidRDefault="000F23A7" w:rsidP="00676D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36.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DA042B" w:rsidRDefault="000F23A7" w:rsidP="00DA0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  <w:r w:rsidRPr="001D31A8"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  <w:tab/>
      </w:r>
    </w:p>
    <w:p w:rsidR="00DA042B" w:rsidRDefault="00DA042B" w:rsidP="00DA04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Енисейского районного совета депутатов Красноярского края от 18.12.2012 года №24-315р утверждена схема территориального планирования Енисейского района.</w:t>
      </w:r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Енисейском районе по состоянию на 01.04.2023 года утверждено три генеральных плана муниципальных образований (п. Подтесово, с. Верхнепашино, п. Высокогорский), разработано 10 проектов генеральных планов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Абалаковский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Шапкинский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Новокаргинский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Верхнепашинский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Погодаевский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Новоназимовский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Майский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Ярцевский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Луговатский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Высокогорский сельсоветы).</w:t>
      </w:r>
    </w:p>
    <w:p w:rsidR="00676D0C" w:rsidRPr="00DA042B" w:rsidRDefault="00676D0C" w:rsidP="00676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="00DA042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37.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Удовлетворенность населения деятельностью местного самоуправления городского округа (муниципального района)</w:t>
      </w:r>
    </w:p>
    <w:p w:rsidR="002523F6" w:rsidRPr="001D31A8" w:rsidRDefault="002523F6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</w:pPr>
    </w:p>
    <w:p w:rsidR="000F23A7" w:rsidRPr="001D31A8" w:rsidRDefault="000F23A7" w:rsidP="00BA78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</w:pPr>
      <w:r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Удовлетворенность населения деятельностью местного самоуправления городского округ</w:t>
      </w:r>
      <w:r w:rsidR="009D0E46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а (муниципального района) в 20</w:t>
      </w:r>
      <w:r w:rsidR="00676D0C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2</w:t>
      </w:r>
      <w:r w:rsidR="00DA042B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2</w:t>
      </w:r>
      <w:r w:rsidR="00676D0C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 xml:space="preserve"> </w:t>
      </w:r>
      <w:r w:rsidR="009D0E46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 xml:space="preserve">году составила </w:t>
      </w:r>
      <w:r w:rsidR="00DA042B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59,80</w:t>
      </w:r>
      <w:r w:rsidR="0025174A"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 xml:space="preserve"> </w:t>
      </w:r>
      <w:r w:rsidRPr="00DA042B">
        <w:rPr>
          <w:rFonts w:ascii="Times New Roman CYR" w:eastAsiaTheme="minorEastAsia" w:hAnsi="Times New Roman CYR" w:cs="Times New Roman CYR"/>
          <w:color w:val="000000"/>
          <w:sz w:val="28"/>
          <w:szCs w:val="28"/>
          <w:u w:color="FF0000"/>
          <w:lang w:eastAsia="ru-RU"/>
        </w:rPr>
        <w:t>%.</w:t>
      </w:r>
    </w:p>
    <w:p w:rsidR="009D0E46" w:rsidRDefault="009D0E46" w:rsidP="00BA78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C62AC4" w:rsidRPr="00DA042B" w:rsidRDefault="00C62AC4" w:rsidP="00BA78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38.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Среднегодовая численность постоянного населения</w:t>
      </w:r>
    </w:p>
    <w:p w:rsidR="002523F6" w:rsidRDefault="002523F6" w:rsidP="000F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Среднегодовая численность постоянного населения в 2022 году сократилась на 116 человек и составила 21658 человек.</w:t>
      </w:r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число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умерших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по сравнению с 2021 годом, снизилось на  61 человека. Численность родившихся в 2022 году составила 201 человек (больше прошлого года на 2 человека). Стоит также отметить, что численность женщин в возрасте от 15 до 49 лет постоянно снижается. </w:t>
      </w:r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Миграционная убыль населения в 2022 году, по сравнению с 2021 годом, увеличилась (2022 год - 225 человек, 2021 год – 125 человек). Увеличилась численность населения как прибывшего, так и выбывшего.</w:t>
      </w:r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показателей численности на 2022-2025 годы рассчитан на основе средней тенденции динамики численности населения за предыдущие годы, с применением коэффициентов смертности и ожидаемой продолжительности жизни, коэффициента дожития, динамики численности женщин в возрасте 15-49 лет (по статистическим данным). </w:t>
      </w:r>
    </w:p>
    <w:p w:rsidR="00DA042B" w:rsidRDefault="00DA042B" w:rsidP="00DA042B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тыс. чел.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1134"/>
        <w:gridCol w:w="1134"/>
        <w:gridCol w:w="1134"/>
        <w:gridCol w:w="1134"/>
        <w:gridCol w:w="1134"/>
        <w:gridCol w:w="1134"/>
      </w:tblGrid>
      <w:tr w:rsidR="00DA042B" w:rsidRPr="00ED391D" w:rsidTr="00DA042B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2020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2021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2022</w:t>
            </w:r>
            <w:r w:rsidRPr="00ED391D">
              <w:rPr>
                <w:rFonts w:ascii="Times New Roman CYR" w:hAnsi="Times New Roman CYR" w:cs="Times New Roman CYR"/>
                <w:b/>
                <w:bCs/>
              </w:rPr>
              <w:br/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2023</w:t>
            </w:r>
            <w:r w:rsidRPr="00ED391D">
              <w:rPr>
                <w:rFonts w:ascii="Times New Roman CYR" w:hAnsi="Times New Roman CYR" w:cs="Times New Roman CYR"/>
                <w:b/>
                <w:bCs/>
              </w:rPr>
              <w:br/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2024</w:t>
            </w:r>
            <w:r w:rsidRPr="00ED391D">
              <w:rPr>
                <w:rFonts w:ascii="Times New Roman CYR" w:hAnsi="Times New Roman CYR" w:cs="Times New Roman CYR"/>
                <w:b/>
                <w:bCs/>
              </w:rPr>
              <w:br/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2025</w:t>
            </w:r>
            <w:r w:rsidRPr="00ED391D">
              <w:rPr>
                <w:rFonts w:ascii="Times New Roman CYR" w:hAnsi="Times New Roman CYR" w:cs="Times New Roman CYR"/>
                <w:b/>
                <w:bCs/>
              </w:rPr>
              <w:br/>
              <w:t>прогноз</w:t>
            </w:r>
          </w:p>
        </w:tc>
      </w:tr>
      <w:tr w:rsidR="00DA042B" w:rsidRPr="00ED391D" w:rsidTr="00DA042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22,114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21,774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21,658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21,271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20,450</w:t>
            </w:r>
          </w:p>
        </w:tc>
      </w:tr>
      <w:tr w:rsidR="00DA042B" w:rsidRPr="00ED391D" w:rsidTr="00DA042B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21,849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21,466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21,075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20,690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родившихся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0,155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0,339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Естественный прирос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т(</w:t>
            </w:r>
            <w:proofErr w:type="gramEnd"/>
            <w:r w:rsidRPr="00ED391D">
              <w:rPr>
                <w:rFonts w:ascii="Times New Roman CYR" w:hAnsi="Times New Roman CYR" w:cs="Times New Roman CYR"/>
              </w:rPr>
              <w:t>+),убыль(-)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-0,184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lastRenderedPageBreak/>
              <w:t xml:space="preserve">Численность 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прибывших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0,915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1,085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 xml:space="preserve">Численность 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убывших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1,282</w:t>
            </w:r>
          </w:p>
        </w:tc>
      </w:tr>
      <w:tr w:rsidR="00DA042B" w:rsidRPr="00ED391D" w:rsidTr="00DA04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D391D">
              <w:rPr>
                <w:rFonts w:ascii="Times New Roman CYR" w:hAnsi="Times New Roman CYR" w:cs="Times New Roman CYR"/>
              </w:rPr>
              <w:t>Миграционный прирос</w:t>
            </w:r>
            <w:proofErr w:type="gramStart"/>
            <w:r w:rsidRPr="00ED391D">
              <w:rPr>
                <w:rFonts w:ascii="Times New Roman CYR" w:hAnsi="Times New Roman CYR" w:cs="Times New Roman CYR"/>
              </w:rPr>
              <w:t>т(</w:t>
            </w:r>
            <w:proofErr w:type="gramEnd"/>
            <w:r w:rsidRPr="00ED391D">
              <w:rPr>
                <w:rFonts w:ascii="Times New Roman CYR" w:hAnsi="Times New Roman CYR" w:cs="Times New Roman CYR"/>
              </w:rPr>
              <w:t>+),убыль(-)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ED391D" w:rsidRDefault="00DA042B" w:rsidP="00DA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391D">
              <w:rPr>
                <w:rFonts w:ascii="Times New Roman CYR" w:hAnsi="Times New Roman CYR" w:cs="Times New Roman CYR"/>
                <w:b/>
                <w:bCs/>
              </w:rPr>
              <w:t>-0,197</w:t>
            </w:r>
          </w:p>
        </w:tc>
      </w:tr>
    </w:tbl>
    <w:p w:rsidR="00F43654" w:rsidRPr="00DA042B" w:rsidRDefault="00F43654" w:rsidP="0099605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96054" w:rsidRPr="00DA042B" w:rsidRDefault="00996054" w:rsidP="0099605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F23A7" w:rsidRPr="00C62AC4" w:rsidRDefault="000F23A7" w:rsidP="00C6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IX.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Энергосбережение и повышен</w:t>
      </w:r>
      <w:r w:rsidR="00C62AC4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ие энергетической эффективности</w:t>
      </w:r>
    </w:p>
    <w:p w:rsidR="000F23A7" w:rsidRPr="00C62AC4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Arial" w:eastAsiaTheme="minorEastAsia" w:hAnsi="Arial" w:cs="Arial"/>
          <w:sz w:val="20"/>
          <w:szCs w:val="20"/>
          <w:u w:color="FF0000"/>
          <w:lang w:eastAsia="ru-RU"/>
        </w:rPr>
        <w:t xml:space="preserve"> 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39.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2523F6" w:rsidRPr="001D31A8" w:rsidRDefault="002523F6" w:rsidP="000F23A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DA042B" w:rsidRPr="00DA042B" w:rsidRDefault="00681835" w:rsidP="00DA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D31A8">
        <w:rPr>
          <w:rFonts w:ascii="Times New Roman" w:eastAsia="Calibri" w:hAnsi="Times New Roman" w:cs="Times New Roman"/>
          <w:sz w:val="28"/>
          <w:szCs w:val="28"/>
        </w:rPr>
        <w:t xml:space="preserve">П.39.1 </w:t>
      </w:r>
      <w:r w:rsidR="00DA042B" w:rsidRPr="00DA042B">
        <w:rPr>
          <w:rFonts w:ascii="Times New Roman CYR" w:hAnsi="Times New Roman CYR" w:cs="Times New Roman CYR"/>
          <w:sz w:val="28"/>
          <w:szCs w:val="28"/>
        </w:rPr>
        <w:t xml:space="preserve">Электрическая энергия. </w:t>
      </w:r>
      <w:proofErr w:type="gramStart"/>
      <w:r w:rsidR="00DA042B" w:rsidRPr="00DA042B">
        <w:rPr>
          <w:rFonts w:ascii="Times New Roman CYR" w:hAnsi="Times New Roman CYR" w:cs="Times New Roman CYR"/>
          <w:sz w:val="28"/>
          <w:szCs w:val="28"/>
        </w:rPr>
        <w:t xml:space="preserve">Увеличение удельной величины показателя потребления электрической энергии на 1 человека, связано с начислением и выставлением счетов потребителям по норме потребления электрической энергии из за наличия внутриквартирных приборов учета электрической энергии с истекшим сроком эксплуатации, а также в связи с участившимися проблемами в отопительный период 2022-2023 на котельной п. </w:t>
      </w:r>
      <w:proofErr w:type="spellStart"/>
      <w:r w:rsidR="00DA042B" w:rsidRPr="00DA042B">
        <w:rPr>
          <w:rFonts w:ascii="Times New Roman CYR" w:hAnsi="Times New Roman CYR" w:cs="Times New Roman CYR"/>
          <w:sz w:val="28"/>
          <w:szCs w:val="28"/>
        </w:rPr>
        <w:t>Подтёсово</w:t>
      </w:r>
      <w:proofErr w:type="spellEnd"/>
      <w:r w:rsidR="00DA042B" w:rsidRPr="00DA042B">
        <w:rPr>
          <w:rFonts w:ascii="Times New Roman CYR" w:hAnsi="Times New Roman CYR" w:cs="Times New Roman CYR"/>
          <w:sz w:val="28"/>
          <w:szCs w:val="28"/>
        </w:rPr>
        <w:t>, жители увеличили использование электроэнергии для отопления жилых помещений (электрообогреватели).</w:t>
      </w:r>
      <w:proofErr w:type="gramEnd"/>
    </w:p>
    <w:p w:rsidR="00DA042B" w:rsidRDefault="00DA042B" w:rsidP="00DA042B">
      <w:pPr>
        <w:autoSpaceDE w:val="0"/>
        <w:autoSpaceDN w:val="0"/>
        <w:adjustRightInd w:val="0"/>
        <w:spacing w:after="0" w:line="240" w:lineRule="auto"/>
        <w:ind w:left="100" w:hanging="2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850"/>
        <w:gridCol w:w="1389"/>
        <w:gridCol w:w="1389"/>
        <w:gridCol w:w="1389"/>
        <w:gridCol w:w="1389"/>
        <w:gridCol w:w="1390"/>
      </w:tblGrid>
      <w:tr w:rsidR="004C0F2E" w:rsidRPr="00DA042B" w:rsidTr="00E7492B">
        <w:trPr>
          <w:trHeight w:val="4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2022 отчет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2023 оценка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2024 прогноз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b/>
                <w:bCs/>
                <w:u w:color="FF0000"/>
              </w:rPr>
              <w:t>2025 прогноз</w:t>
            </w:r>
          </w:p>
        </w:tc>
      </w:tr>
      <w:tr w:rsidR="004C0F2E" w:rsidRPr="00DA042B" w:rsidTr="00E7492B">
        <w:trPr>
          <w:trHeight w:val="8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39.1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 xml:space="preserve"> </w:t>
            </w:r>
            <w:proofErr w:type="spellStart"/>
            <w:r w:rsidRPr="00DA042B">
              <w:rPr>
                <w:rFonts w:ascii="Times New Roman CYR" w:hAnsi="Times New Roman CYR" w:cs="Times New Roman CYR"/>
                <w:u w:color="FF0000"/>
              </w:rPr>
              <w:t>кВт·</w:t>
            </w:r>
            <w:proofErr w:type="gramStart"/>
            <w:r w:rsidRPr="00DA042B">
              <w:rPr>
                <w:rFonts w:ascii="Times New Roman CYR" w:hAnsi="Times New Roman CYR" w:cs="Times New Roman CYR"/>
                <w:u w:color="FF0000"/>
              </w:rPr>
              <w:t>ч</w:t>
            </w:r>
            <w:proofErr w:type="spellEnd"/>
            <w:proofErr w:type="gramEnd"/>
            <w:r w:rsidRPr="00DA042B"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1 487,43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1 593,93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1 593,93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1 593,93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1 593,93</w:t>
            </w:r>
          </w:p>
        </w:tc>
      </w:tr>
      <w:tr w:rsidR="004C0F2E" w:rsidRPr="00DA042B" w:rsidTr="00E7492B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DA042B">
              <w:rPr>
                <w:rFonts w:ascii="Times New Roman CYR" w:hAnsi="Times New Roman CYR" w:cs="Times New Roman CYR"/>
                <w:u w:color="FF0000"/>
              </w:rPr>
              <w:t>кВтч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7 180 472,60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7 684 357,80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7 684 357,80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7 684 357,80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7 684 357,80</w:t>
            </w:r>
          </w:p>
        </w:tc>
      </w:tr>
      <w:tr w:rsidR="004C0F2E" w:rsidRPr="00DA042B" w:rsidTr="00E7492B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proofErr w:type="gramStart"/>
            <w:r w:rsidRPr="00DA042B"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DA042B" w:rsidRDefault="00DA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DA042B">
              <w:rPr>
                <w:rFonts w:ascii="Times New Roman CYR" w:hAnsi="Times New Roman CYR" w:cs="Times New Roman CYR"/>
                <w:u w:color="FF0000"/>
              </w:rPr>
              <w:t>человек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4847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4821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4821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4821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2B" w:rsidRPr="004C0F2E" w:rsidRDefault="00DA04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sz w:val="21"/>
                <w:szCs w:val="21"/>
                <w:u w:color="FF0000"/>
              </w:rPr>
              <w:t>4821</w:t>
            </w:r>
          </w:p>
        </w:tc>
      </w:tr>
    </w:tbl>
    <w:p w:rsidR="00681835" w:rsidRDefault="00681835" w:rsidP="00F43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F2E" w:rsidRPr="004C0F2E" w:rsidRDefault="00681835" w:rsidP="004C0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1D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П.39.2 Тепловая энергия. </w:t>
      </w:r>
      <w:r w:rsidR="004C0F2E" w:rsidRPr="004C0F2E">
        <w:rPr>
          <w:rFonts w:ascii="Times New Roman CYR" w:hAnsi="Times New Roman CYR" w:cs="Times New Roman CYR"/>
          <w:sz w:val="28"/>
          <w:szCs w:val="28"/>
          <w:u w:color="FF0000"/>
        </w:rPr>
        <w:t xml:space="preserve">Тепловая энергия. Увеличение удельной величины показателя связано с уменьшением отапливаемой площади, в связи с отключением от центрального отопления МКД </w:t>
      </w:r>
      <w:proofErr w:type="gramStart"/>
      <w:r w:rsidR="004C0F2E" w:rsidRPr="004C0F2E">
        <w:rPr>
          <w:rFonts w:ascii="Times New Roman CYR" w:hAnsi="Times New Roman CYR" w:cs="Times New Roman CYR"/>
          <w:sz w:val="28"/>
          <w:szCs w:val="28"/>
          <w:u w:color="FF0000"/>
        </w:rPr>
        <w:t>признанных</w:t>
      </w:r>
      <w:proofErr w:type="gramEnd"/>
      <w:r w:rsidR="004C0F2E" w:rsidRPr="004C0F2E">
        <w:rPr>
          <w:rFonts w:ascii="Times New Roman CYR" w:hAnsi="Times New Roman CYR" w:cs="Times New Roman CYR"/>
          <w:sz w:val="28"/>
          <w:szCs w:val="28"/>
          <w:u w:color="FF0000"/>
        </w:rPr>
        <w:t xml:space="preserve"> аварийными.</w:t>
      </w:r>
    </w:p>
    <w:p w:rsidR="004C0F2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1219"/>
        <w:gridCol w:w="1219"/>
        <w:gridCol w:w="1219"/>
        <w:gridCol w:w="1219"/>
        <w:gridCol w:w="1219"/>
      </w:tblGrid>
      <w:tr w:rsidR="004C0F2E" w:rsidRPr="004C0F2E" w:rsidTr="004C0F2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2022 отчет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2023 оценка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2024 прогноз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2025 прогноз</w:t>
            </w:r>
          </w:p>
        </w:tc>
      </w:tr>
      <w:tr w:rsidR="004C0F2E" w:rsidRPr="004C0F2E" w:rsidTr="004C0F2E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39.2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тепловая энергия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Гкал на 1 кв. метр общей площади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0,43</w:t>
            </w:r>
          </w:p>
        </w:tc>
      </w:tr>
      <w:tr w:rsidR="004C0F2E" w:rsidRPr="004C0F2E" w:rsidTr="004C0F2E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Гкал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13 877,58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13476,31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13476,31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13476,31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13476,31</w:t>
            </w:r>
          </w:p>
        </w:tc>
      </w:tr>
      <w:tr w:rsidR="004C0F2E" w:rsidRPr="004C0F2E" w:rsidTr="004C0F2E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кв. метр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33 700,02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31 660,62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31 660,62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31 660,62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color w:val="000000"/>
                <w:u w:color="FF0000"/>
              </w:rPr>
              <w:t>31 660,62</w:t>
            </w:r>
          </w:p>
        </w:tc>
      </w:tr>
    </w:tbl>
    <w:p w:rsidR="0025174A" w:rsidRDefault="0025174A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u w:color="FF0000"/>
          <w:lang w:eastAsia="ru-RU"/>
        </w:rPr>
      </w:pPr>
    </w:p>
    <w:p w:rsidR="004C0F2E" w:rsidRPr="004C0F2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4C0F2E">
        <w:rPr>
          <w:rFonts w:ascii="Times New Roman CYR" w:hAnsi="Times New Roman CYR" w:cs="Times New Roman CYR"/>
          <w:sz w:val="28"/>
          <w:szCs w:val="28"/>
          <w:u w:color="FF0000"/>
        </w:rPr>
        <w:t>П.39.3. Горячая вода. Потребление горячей воды снизилось в связи с отключением (отказом) потребителями от услуги горячего водоснабжения, а так же в связи с переходом потребления горячей воды по приборам учета (фактическое потребление по приборам учета меньше нормативных объемов потребления).</w:t>
      </w:r>
    </w:p>
    <w:p w:rsidR="004C0F2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1105"/>
        <w:gridCol w:w="1106"/>
        <w:gridCol w:w="1105"/>
        <w:gridCol w:w="1106"/>
        <w:gridCol w:w="1106"/>
      </w:tblGrid>
      <w:tr w:rsidR="004C0F2E" w:rsidRPr="004C0F2E" w:rsidTr="00EC058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2022 отчет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2023 оценка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2024 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b/>
                <w:bCs/>
                <w:u w:color="FF0000"/>
              </w:rPr>
              <w:t>2025 прогноз</w:t>
            </w:r>
          </w:p>
        </w:tc>
      </w:tr>
      <w:tr w:rsidR="004C0F2E" w:rsidRPr="004C0F2E" w:rsidTr="00EC058E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39.3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горячая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4C0F2E">
              <w:rPr>
                <w:rFonts w:ascii="Times New Roman CYR" w:hAnsi="Times New Roman CYR" w:cs="Times New Roman CYR"/>
                <w:u w:color="FF0000"/>
              </w:rPr>
              <w:t>куб</w:t>
            </w:r>
            <w:proofErr w:type="gramStart"/>
            <w:r w:rsidRPr="004C0F2E"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  <w:r w:rsidRPr="004C0F2E">
              <w:rPr>
                <w:rFonts w:ascii="Times New Roman CYR" w:hAnsi="Times New Roman CYR" w:cs="Times New Roman CYR"/>
                <w:u w:color="FF0000"/>
              </w:rPr>
              <w:t>етров</w:t>
            </w:r>
            <w:proofErr w:type="spellEnd"/>
            <w:r w:rsidRPr="004C0F2E"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1,27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0,65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0,65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0,65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0,65</w:t>
            </w:r>
          </w:p>
        </w:tc>
      </w:tr>
      <w:tr w:rsidR="004C0F2E" w:rsidRPr="004C0F2E" w:rsidTr="00EC058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объем потребления воды (горячей)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4C0F2E">
              <w:rPr>
                <w:rFonts w:ascii="Times New Roman CYR" w:hAnsi="Times New Roman CYR" w:cs="Times New Roman CYR"/>
                <w:u w:color="FF0000"/>
              </w:rPr>
              <w:t>куб</w:t>
            </w:r>
            <w:proofErr w:type="gramStart"/>
            <w:r w:rsidRPr="004C0F2E"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4 055,13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1841,72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1841,72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1841,72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1841,72</w:t>
            </w:r>
          </w:p>
        </w:tc>
      </w:tr>
      <w:tr w:rsidR="004C0F2E" w:rsidRPr="004C0F2E" w:rsidTr="00EC058E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proofErr w:type="gramStart"/>
            <w:r w:rsidRPr="004C0F2E"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3 187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2855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2855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2855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4C0F2E" w:rsidRDefault="004C0F2E" w:rsidP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4C0F2E">
              <w:rPr>
                <w:rFonts w:ascii="Times New Roman CYR" w:hAnsi="Times New Roman CYR" w:cs="Times New Roman CYR"/>
                <w:u w:color="FF0000"/>
              </w:rPr>
              <w:t>2855</w:t>
            </w:r>
          </w:p>
        </w:tc>
      </w:tr>
    </w:tbl>
    <w:p w:rsidR="004C0F2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u w:color="FF0000"/>
        </w:rPr>
      </w:pPr>
    </w:p>
    <w:p w:rsidR="004C0F2E" w:rsidRPr="00EC058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EC058E"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П.39.4 Холодная вода. Удельная величина данного показателя уменьшилась в 2022 году на 4,34 м</w:t>
      </w:r>
      <w:r w:rsidRPr="00EC058E"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  <w:r w:rsidRPr="00EC058E">
        <w:rPr>
          <w:rFonts w:ascii="Times New Roman CYR" w:hAnsi="Times New Roman CYR" w:cs="Times New Roman CYR"/>
          <w:sz w:val="28"/>
          <w:szCs w:val="28"/>
          <w:u w:color="FF0000"/>
        </w:rPr>
        <w:t xml:space="preserve"> на 1 проживающего. Уменьшение показателя объясняется установкой индивидуальных приборов учета ХВС, уменьшением количества потребителей.</w:t>
      </w:r>
    </w:p>
    <w:p w:rsidR="004C0F2E" w:rsidRDefault="004C0F2E" w:rsidP="004C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162"/>
        <w:gridCol w:w="1162"/>
        <w:gridCol w:w="1163"/>
        <w:gridCol w:w="1162"/>
        <w:gridCol w:w="1163"/>
      </w:tblGrid>
      <w:tr w:rsidR="004C0F2E" w:rsidRPr="00EC058E" w:rsidTr="00EC058E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Единицы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2021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2022 отчет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2023 оценка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2024 прогноз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bCs/>
                <w:u w:color="FF0000"/>
              </w:rPr>
              <w:t>2025 прогноз</w:t>
            </w:r>
          </w:p>
        </w:tc>
      </w:tr>
      <w:tr w:rsidR="004C0F2E" w:rsidRPr="00EC058E" w:rsidTr="00EC058E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39.4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холодная 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EC058E">
              <w:rPr>
                <w:rFonts w:ascii="Times New Roman CYR" w:hAnsi="Times New Roman CYR" w:cs="Times New Roman CYR"/>
                <w:u w:color="FF0000"/>
              </w:rPr>
              <w:t>куб</w:t>
            </w:r>
            <w:proofErr w:type="gramStart"/>
            <w:r w:rsidRPr="00EC058E"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  <w:r w:rsidRPr="00EC058E">
              <w:rPr>
                <w:rFonts w:ascii="Times New Roman CYR" w:hAnsi="Times New Roman CYR" w:cs="Times New Roman CYR"/>
                <w:u w:color="FF0000"/>
              </w:rPr>
              <w:t>етров</w:t>
            </w:r>
            <w:proofErr w:type="spellEnd"/>
            <w:r w:rsidRPr="00EC058E"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13,4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9,06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9,06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9,06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9,06</w:t>
            </w:r>
          </w:p>
        </w:tc>
      </w:tr>
      <w:tr w:rsidR="004C0F2E" w:rsidRPr="00EC058E" w:rsidTr="00EC058E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proofErr w:type="spellStart"/>
            <w:r w:rsidRPr="00EC058E">
              <w:rPr>
                <w:rFonts w:ascii="Times New Roman CYR" w:hAnsi="Times New Roman CYR" w:cs="Times New Roman CYR"/>
                <w:u w:color="FF0000"/>
              </w:rPr>
              <w:t>куб</w:t>
            </w:r>
            <w:proofErr w:type="gramStart"/>
            <w:r w:rsidRPr="00EC058E"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64 957,36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43 662,12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43 662,12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43 662,12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43 662,12</w:t>
            </w:r>
          </w:p>
        </w:tc>
      </w:tr>
      <w:tr w:rsidR="004C0F2E" w:rsidRPr="00EC058E" w:rsidTr="00EC058E">
        <w:trPr>
          <w:trHeight w:val="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proofErr w:type="gramStart"/>
            <w:r w:rsidRPr="00EC058E"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4 847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4 821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4 821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4 821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2E" w:rsidRPr="00EC058E" w:rsidRDefault="004C0F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u w:color="FF0000"/>
              </w:rPr>
              <w:t>4 821</w:t>
            </w:r>
          </w:p>
        </w:tc>
      </w:tr>
    </w:tbl>
    <w:p w:rsidR="0025174A" w:rsidRPr="001D31A8" w:rsidRDefault="0025174A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Cs/>
          <w:color w:val="000000"/>
          <w:sz w:val="28"/>
          <w:szCs w:val="28"/>
          <w:u w:color="FF0000"/>
          <w:lang w:eastAsia="ru-RU"/>
        </w:rPr>
        <w:t>40.</w:t>
      </w:r>
      <w:r w:rsidRPr="001D31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color="FF0000"/>
          <w:lang w:eastAsia="ru-RU"/>
        </w:rPr>
        <w:t xml:space="preserve"> </w:t>
      </w:r>
      <w:r w:rsidRPr="001D31A8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  <w:u w:color="FF0000"/>
          <w:lang w:eastAsia="ru-RU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2523F6" w:rsidRPr="001D31A8" w:rsidRDefault="002523F6" w:rsidP="00A9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u w:color="FF0000"/>
          <w:lang w:eastAsia="ru-RU"/>
        </w:rPr>
      </w:pP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Среднегодовая численность в Енисейском районе в 2022 году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>и в прогнозном периоде 2023 – 2025 годы составляет: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94"/>
        <w:gridCol w:w="1595"/>
        <w:gridCol w:w="1594"/>
        <w:gridCol w:w="1595"/>
      </w:tblGrid>
      <w:tr w:rsidR="00EC058E" w:rsidRPr="00EC058E" w:rsidTr="00EC058E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Н</w:t>
            </w: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аименование показателя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2023</w:t>
            </w:r>
          </w:p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2024</w:t>
            </w: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t>2025</w:t>
            </w:r>
            <w:r w:rsidRPr="00EC058E">
              <w:rPr>
                <w:rFonts w:ascii="Times New Roman CYR" w:hAnsi="Times New Roman CYR" w:cs="Times New Roman CYR"/>
                <w:b/>
                <w:sz w:val="24"/>
                <w:szCs w:val="24"/>
                <w:u w:color="FF0000"/>
              </w:rPr>
              <w:br/>
              <w:t>прогноз</w:t>
            </w:r>
          </w:p>
        </w:tc>
      </w:tr>
      <w:tr w:rsidR="00EC058E" w:rsidRPr="00EC058E" w:rsidTr="00EC058E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21658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21271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20883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8E" w:rsidRPr="00EC058E" w:rsidRDefault="00EC058E" w:rsidP="00EC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C058E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20450</w:t>
            </w:r>
          </w:p>
        </w:tc>
      </w:tr>
    </w:tbl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площадь муниципальных учреждений на 2022 год составляет  88588,20 м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2022 году в ходе мониторинга потребления энергетических ресурсов муниципальными учреждениями объемы потребления составили: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электроэнергия – 1 927 412,88 кВт;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тепловая энергия – 15 036,636 Гкал;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горячее водоснабжение – 827,698 м3;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холодное водоснабжение – 14 776,333 м3.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В 2022 году объем потребления энергетических ресурсов муниципальными бюджетными учреждениями  на 1 человека населения составил:</w:t>
      </w:r>
    </w:p>
    <w:p w:rsidR="00EC058E" w:rsidRDefault="00EC058E" w:rsidP="00EC05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Электрическая энергия – 88,99 кВт*час на 1 человека населения, что на 7,37 % меньше, чем в 2021 году;</w:t>
      </w:r>
    </w:p>
    <w:p w:rsidR="00EC058E" w:rsidRDefault="00EC058E" w:rsidP="00EC05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Тепловая энергия – 0,17 Гкал на 1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 общей площади, что на 5,88 % меньше, чем в 2021 году;</w:t>
      </w:r>
    </w:p>
    <w:p w:rsidR="00EC058E" w:rsidRDefault="00EC058E" w:rsidP="00EC05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Горячая вода – 0,04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 на 1 человека населения, что на 20 % меньше, чем в 2021 году;</w:t>
      </w:r>
    </w:p>
    <w:p w:rsidR="00EC058E" w:rsidRDefault="00EC058E" w:rsidP="00EC05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Холодная вода – 0,68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 на 1 человека населения, что на 6,85 % меньше, чем в 2021 году;</w:t>
      </w:r>
    </w:p>
    <w:p w:rsidR="00EC058E" w:rsidRDefault="00EC058E" w:rsidP="00EC058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Природного газа - 0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 на 1 человека населения, муниципальными учреждениями не потребляется.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При этом необходимо отметить ежегодное снижение численности населения жителей Енисейского района.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Так в 2022 году среднегодовая численность постоянного населения снизилась, в сравнении с 2021 годом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br/>
        <w:t xml:space="preserve">(21 774 человека), на 0,53 %. В дальнейшем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также прогнозируется снижение численности постоянного населения в среднем на 1,89 %.</w:t>
      </w:r>
    </w:p>
    <w:p w:rsidR="00F43654" w:rsidRPr="001D31A8" w:rsidRDefault="00EC058E" w:rsidP="0025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Так как наблюдается и в дальнейшем прогнозируется снижение численности постоянного населения, при равных натуральных показателях, то плановые значения удельного показателя электрической энергии, в прогнозируемый период, будут повышаться.</w:t>
      </w:r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u w:color="FF0000"/>
          <w:lang w:eastAsia="ru-RU"/>
        </w:rPr>
      </w:pPr>
    </w:p>
    <w:p w:rsidR="000F23A7" w:rsidRPr="001D31A8" w:rsidRDefault="000F23A7" w:rsidP="00A9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  <w:t xml:space="preserve"> </w:t>
      </w:r>
      <w:r w:rsidR="009D0E46" w:rsidRPr="001D31A8"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  <w:t>41.</w:t>
      </w:r>
      <w:r w:rsidR="009D0E46" w:rsidRPr="001D3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0E46" w:rsidRPr="001D31A8"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</w:r>
      <w:proofErr w:type="gramEnd"/>
    </w:p>
    <w:p w:rsidR="000F23A7" w:rsidRPr="001D31A8" w:rsidRDefault="000F23A7" w:rsidP="000F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</w:pPr>
      <w:r w:rsidRPr="001D31A8">
        <w:rPr>
          <w:rFonts w:ascii="Times New Roman" w:eastAsiaTheme="minorEastAsia" w:hAnsi="Times New Roman" w:cs="Times New Roman"/>
          <w:b/>
          <w:sz w:val="28"/>
          <w:szCs w:val="28"/>
          <w:u w:color="FF0000"/>
          <w:lang w:eastAsia="ru-RU"/>
        </w:rPr>
        <w:t xml:space="preserve"> </w:t>
      </w:r>
    </w:p>
    <w:p w:rsidR="009D0E46" w:rsidRPr="00EC058E" w:rsidRDefault="009D0E46" w:rsidP="009D0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Показатель 41.1 Результаты независимой  </w:t>
      </w:r>
      <w:proofErr w:type="gramStart"/>
      <w:r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оценки  качества  условий  оказания  услуг</w:t>
      </w:r>
      <w:proofErr w:type="gramEnd"/>
      <w:r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организациями культуры:</w:t>
      </w:r>
    </w:p>
    <w:p w:rsidR="0007181D" w:rsidRPr="00F43654" w:rsidRDefault="0007181D" w:rsidP="000718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"/>
          <w:sz w:val="28"/>
          <w:szCs w:val="28"/>
          <w:highlight w:val="yellow"/>
        </w:rPr>
      </w:pPr>
    </w:p>
    <w:p w:rsidR="00EC058E" w:rsidRDefault="0025174A" w:rsidP="00EC0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058E">
        <w:rPr>
          <w:rFonts w:ascii="Times New Roman CYR" w:hAnsi="Times New Roman CYR" w:cs="Times New Roman CYR"/>
          <w:kern w:val="1"/>
          <w:sz w:val="28"/>
          <w:szCs w:val="28"/>
        </w:rPr>
        <w:tab/>
      </w:r>
      <w:r w:rsidR="00EC058E" w:rsidRPr="00EC058E">
        <w:rPr>
          <w:rFonts w:ascii="Times New Roman CYR" w:hAnsi="Times New Roman CYR" w:cs="Times New Roman CYR"/>
          <w:sz w:val="28"/>
          <w:szCs w:val="28"/>
        </w:rPr>
        <w:t>В 2022 году</w:t>
      </w:r>
      <w:r w:rsidR="00EC058E">
        <w:rPr>
          <w:rFonts w:ascii="Times New Roman CYR" w:hAnsi="Times New Roman CYR" w:cs="Times New Roman CYR"/>
          <w:sz w:val="28"/>
          <w:szCs w:val="28"/>
        </w:rPr>
        <w:t xml:space="preserve"> независимую оценку качества проходило одно учреждение культуры, а именно: МБУК «</w:t>
      </w:r>
      <w:proofErr w:type="spellStart"/>
      <w:r w:rsidR="00EC058E"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 w:rsidR="00EC058E">
        <w:rPr>
          <w:rFonts w:ascii="Times New Roman CYR" w:hAnsi="Times New Roman CYR" w:cs="Times New Roman CYR"/>
          <w:sz w:val="28"/>
          <w:szCs w:val="28"/>
        </w:rPr>
        <w:t xml:space="preserve"> библиотека имени А. М. Бондаренко Енисейского района». 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проводилась Оператором ООО Исследовательская компания «Лидер»  методом анализа официальных сайтов организ</w:t>
      </w:r>
      <w:r w:rsidR="00F146DE">
        <w:rPr>
          <w:rFonts w:ascii="Times New Roman CYR" w:hAnsi="Times New Roman CYR" w:cs="Times New Roman CYR"/>
          <w:sz w:val="28"/>
          <w:szCs w:val="28"/>
        </w:rPr>
        <w:t>ации культуры в сети «Интернет».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Количество баллов по критериям: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1 «Открытость и доступность информации об организации культуры» - 100,0;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2 «Комфортность условий предоставления услуг» - 99,18;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3 «Доступность услуг для инвалидов» - 46,00;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4 «Доброжелательность, вежливость работников организации» - 97,58;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5 «Удовлетворенность условиями оказания услуг» - 99,36.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количество баллов 87,8 баллов из 100 максимальных. 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уровень удовлетворенности населения качеством условий оказания услуг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библиотека имени члена Союза писателей России, Почетного гражданина Енисейского района Алексея Марковича Бондаренко»  заслуживает оценку «хорошо».</w:t>
      </w:r>
    </w:p>
    <w:p w:rsidR="00EC058E" w:rsidRDefault="00EC058E" w:rsidP="00EC05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основном по  критериям набраны баллы выше среднего значения. Наименьшее количество баллов было получено от респондентов по критерию: «Доступность услуг для инвалидов». Данный фактор препятствует  учреждению культуры эффективно и качественно осуществлять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 на современном, отвечающем потребностям населения уровне. Доступность услуг для инвалидов это самый проблемный вопрос требующий решения. Учреждение культуры не имеет оснащения специальными устройствами, позволяющими беспрепятственно получать услуги людям с инвалидностью, МГН и ОВЗ. Одним из главных предложений респондентов стало оборудование прилегающей к организации территории стоянкой для автотранспортных средств инвалидов.</w:t>
      </w:r>
    </w:p>
    <w:p w:rsidR="0025174A" w:rsidRPr="00F43654" w:rsidRDefault="0025174A" w:rsidP="002517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highlight w:val="yellow"/>
        </w:rPr>
      </w:pPr>
    </w:p>
    <w:p w:rsidR="0007181D" w:rsidRPr="00EC058E" w:rsidRDefault="009D0E46" w:rsidP="00EC05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Показатель 41.2  Результаты независи</w:t>
      </w:r>
      <w:r w:rsidR="0007181D"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мой  оценки  качества  условий</w:t>
      </w:r>
    </w:p>
    <w:p w:rsidR="009D0E46" w:rsidRPr="00EC058E" w:rsidRDefault="009D0E46" w:rsidP="00EC058E">
      <w:p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EC058E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оказания  услуг муниципальными организациями в сфере образования:</w:t>
      </w:r>
    </w:p>
    <w:p w:rsidR="00EC058E" w:rsidRDefault="00EC058E" w:rsidP="00EC058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25174A" w:rsidRPr="00EC058E" w:rsidRDefault="00EC058E" w:rsidP="00EC058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ab/>
      </w:r>
      <w:r w:rsidR="0025174A" w:rsidRPr="00EC058E">
        <w:rPr>
          <w:rFonts w:ascii="Times New Roman CYR" w:hAnsi="Times New Roman CYR" w:cs="Times New Roman CYR"/>
          <w:sz w:val="28"/>
          <w:szCs w:val="28"/>
        </w:rPr>
        <w:t>В соответствии с требованиями зако</w:t>
      </w:r>
      <w:r>
        <w:rPr>
          <w:rFonts w:ascii="Times New Roman CYR" w:hAnsi="Times New Roman CYR" w:cs="Times New Roman CYR"/>
          <w:sz w:val="28"/>
          <w:szCs w:val="28"/>
        </w:rPr>
        <w:t xml:space="preserve">нодательства независимая оценка </w:t>
      </w:r>
      <w:r w:rsidR="0025174A" w:rsidRPr="00EC058E">
        <w:rPr>
          <w:rFonts w:ascii="Times New Roman CYR" w:hAnsi="Times New Roman CYR" w:cs="Times New Roman CYR"/>
          <w:sz w:val="28"/>
          <w:szCs w:val="28"/>
        </w:rPr>
        <w:t>качества оказания услуг образовательными учреждениями проводится один раз в три года. Данное мероприятие за отчетный период не проводилась.</w:t>
      </w:r>
    </w:p>
    <w:p w:rsidR="0025174A" w:rsidRDefault="0025174A" w:rsidP="00EC058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058E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C058E">
        <w:rPr>
          <w:rFonts w:ascii="Times New Roman CYR" w:hAnsi="Times New Roman CYR" w:cs="Times New Roman CYR"/>
          <w:sz w:val="28"/>
          <w:szCs w:val="28"/>
        </w:rPr>
        <w:tab/>
      </w:r>
      <w:r w:rsidRPr="00EC058E">
        <w:rPr>
          <w:rFonts w:ascii="Times New Roman CYR" w:hAnsi="Times New Roman CYR" w:cs="Times New Roman CYR"/>
          <w:sz w:val="28"/>
          <w:szCs w:val="28"/>
        </w:rPr>
        <w:t>Следующая независимая оценка качества условий оказания услуг образовательными учреждениями Енисейского района будет проведена в 2023 году.</w:t>
      </w:r>
    </w:p>
    <w:p w:rsidR="0007181D" w:rsidRDefault="0007181D" w:rsidP="0025174A">
      <w:pPr>
        <w:widowControl w:val="0"/>
        <w:tabs>
          <w:tab w:val="left" w:pos="2321"/>
          <w:tab w:val="left" w:pos="3316"/>
          <w:tab w:val="left" w:pos="4482"/>
          <w:tab w:val="left" w:pos="6491"/>
          <w:tab w:val="left" w:pos="7423"/>
          <w:tab w:val="left" w:pos="7790"/>
          <w:tab w:val="left" w:pos="8835"/>
        </w:tabs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Theme="minorEastAsia" w:hAnsi="Arial" w:cs="Arial"/>
          <w:sz w:val="20"/>
          <w:szCs w:val="20"/>
          <w:u w:color="FF0000"/>
          <w:lang w:eastAsia="ru-RU"/>
        </w:rPr>
      </w:pPr>
    </w:p>
    <w:sectPr w:rsidR="0007181D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91" w:rsidRDefault="00CC4C91" w:rsidP="00ED3F34">
      <w:pPr>
        <w:spacing w:after="0" w:line="240" w:lineRule="auto"/>
      </w:pPr>
      <w:r>
        <w:separator/>
      </w:r>
    </w:p>
  </w:endnote>
  <w:endnote w:type="continuationSeparator" w:id="0">
    <w:p w:rsidR="00CC4C91" w:rsidRDefault="00CC4C91" w:rsidP="00ED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04250"/>
      <w:docPartObj>
        <w:docPartGallery w:val="Page Numbers (Bottom of Page)"/>
        <w:docPartUnique/>
      </w:docPartObj>
    </w:sdtPr>
    <w:sdtEndPr/>
    <w:sdtContent>
      <w:p w:rsidR="00CC3E25" w:rsidRDefault="00CC3E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6DE">
          <w:rPr>
            <w:noProof/>
          </w:rPr>
          <w:t>29</w:t>
        </w:r>
        <w:r>
          <w:fldChar w:fldCharType="end"/>
        </w:r>
      </w:p>
    </w:sdtContent>
  </w:sdt>
  <w:p w:rsidR="00CC3E25" w:rsidRDefault="00CC3E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91" w:rsidRDefault="00CC4C91" w:rsidP="00ED3F34">
      <w:pPr>
        <w:spacing w:after="0" w:line="240" w:lineRule="auto"/>
      </w:pPr>
      <w:r>
        <w:separator/>
      </w:r>
    </w:p>
  </w:footnote>
  <w:footnote w:type="continuationSeparator" w:id="0">
    <w:p w:rsidR="00CC4C91" w:rsidRDefault="00CC4C91" w:rsidP="00ED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D8903A4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ED3644C"/>
    <w:multiLevelType w:val="singleLevel"/>
    <w:tmpl w:val="4E14EE0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0F515996"/>
    <w:multiLevelType w:val="singleLevel"/>
    <w:tmpl w:val="4E14EE0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23B46ADF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24D03B9"/>
    <w:multiLevelType w:val="hybridMultilevel"/>
    <w:tmpl w:val="CFBE3B74"/>
    <w:lvl w:ilvl="0" w:tplc="E1D089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6D75B0B"/>
    <w:multiLevelType w:val="singleLevel"/>
    <w:tmpl w:val="4E14EE0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487B638F"/>
    <w:multiLevelType w:val="singleLevel"/>
    <w:tmpl w:val="4E14EE0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8">
    <w:nsid w:val="4A2D5EBC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A794C56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D2D0004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7283522"/>
    <w:multiLevelType w:val="singleLevel"/>
    <w:tmpl w:val="842CEE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F9B42CC"/>
    <w:multiLevelType w:val="singleLevel"/>
    <w:tmpl w:val="4E14EE0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0"/>
    <w:rsid w:val="00030DB0"/>
    <w:rsid w:val="00044BAA"/>
    <w:rsid w:val="0005400C"/>
    <w:rsid w:val="00057659"/>
    <w:rsid w:val="00060BB4"/>
    <w:rsid w:val="0007181D"/>
    <w:rsid w:val="000A70BE"/>
    <w:rsid w:val="000B1F71"/>
    <w:rsid w:val="000B68DA"/>
    <w:rsid w:val="000C5292"/>
    <w:rsid w:val="000D13F1"/>
    <w:rsid w:val="000F23A7"/>
    <w:rsid w:val="000F629C"/>
    <w:rsid w:val="000F7BB9"/>
    <w:rsid w:val="00134569"/>
    <w:rsid w:val="001819EF"/>
    <w:rsid w:val="00192621"/>
    <w:rsid w:val="001D31A8"/>
    <w:rsid w:val="001F1F01"/>
    <w:rsid w:val="001F73E7"/>
    <w:rsid w:val="00201F18"/>
    <w:rsid w:val="0022558B"/>
    <w:rsid w:val="00236DB0"/>
    <w:rsid w:val="0025174A"/>
    <w:rsid w:val="002523F6"/>
    <w:rsid w:val="002752F4"/>
    <w:rsid w:val="00277163"/>
    <w:rsid w:val="002C0EB8"/>
    <w:rsid w:val="002D3DAD"/>
    <w:rsid w:val="002D6517"/>
    <w:rsid w:val="002D7591"/>
    <w:rsid w:val="00327BFE"/>
    <w:rsid w:val="0034770A"/>
    <w:rsid w:val="0037036E"/>
    <w:rsid w:val="003A4575"/>
    <w:rsid w:val="003B3E2C"/>
    <w:rsid w:val="003C7444"/>
    <w:rsid w:val="003F6456"/>
    <w:rsid w:val="004068C2"/>
    <w:rsid w:val="00412366"/>
    <w:rsid w:val="004231BF"/>
    <w:rsid w:val="0045492F"/>
    <w:rsid w:val="00466C1F"/>
    <w:rsid w:val="0047429C"/>
    <w:rsid w:val="00477CEC"/>
    <w:rsid w:val="004811F2"/>
    <w:rsid w:val="00496DDC"/>
    <w:rsid w:val="004C0F2E"/>
    <w:rsid w:val="004C5512"/>
    <w:rsid w:val="004F0544"/>
    <w:rsid w:val="004F17C9"/>
    <w:rsid w:val="00527DF8"/>
    <w:rsid w:val="0057199A"/>
    <w:rsid w:val="005863F9"/>
    <w:rsid w:val="00593453"/>
    <w:rsid w:val="005A563A"/>
    <w:rsid w:val="005B262F"/>
    <w:rsid w:val="005B36AA"/>
    <w:rsid w:val="005C190D"/>
    <w:rsid w:val="005C391F"/>
    <w:rsid w:val="005D09A4"/>
    <w:rsid w:val="005F4FC5"/>
    <w:rsid w:val="00606E97"/>
    <w:rsid w:val="00676D0C"/>
    <w:rsid w:val="00676D70"/>
    <w:rsid w:val="00681835"/>
    <w:rsid w:val="00684C37"/>
    <w:rsid w:val="00691581"/>
    <w:rsid w:val="006A23E0"/>
    <w:rsid w:val="006E0CCC"/>
    <w:rsid w:val="006E66AD"/>
    <w:rsid w:val="0070122B"/>
    <w:rsid w:val="00712C68"/>
    <w:rsid w:val="0072165A"/>
    <w:rsid w:val="00760556"/>
    <w:rsid w:val="007739CF"/>
    <w:rsid w:val="007B3201"/>
    <w:rsid w:val="007B6562"/>
    <w:rsid w:val="007D5A8E"/>
    <w:rsid w:val="00803618"/>
    <w:rsid w:val="00811886"/>
    <w:rsid w:val="00870056"/>
    <w:rsid w:val="008775F9"/>
    <w:rsid w:val="008C51FB"/>
    <w:rsid w:val="008D21F1"/>
    <w:rsid w:val="008D2F45"/>
    <w:rsid w:val="008E441F"/>
    <w:rsid w:val="00901144"/>
    <w:rsid w:val="00902C0A"/>
    <w:rsid w:val="0095676F"/>
    <w:rsid w:val="00972F02"/>
    <w:rsid w:val="00996054"/>
    <w:rsid w:val="00997C4C"/>
    <w:rsid w:val="009C3330"/>
    <w:rsid w:val="009D0E46"/>
    <w:rsid w:val="00A061CB"/>
    <w:rsid w:val="00A37B5C"/>
    <w:rsid w:val="00A45A43"/>
    <w:rsid w:val="00A52E51"/>
    <w:rsid w:val="00A61D96"/>
    <w:rsid w:val="00A63907"/>
    <w:rsid w:val="00A87C6B"/>
    <w:rsid w:val="00A931EB"/>
    <w:rsid w:val="00AA43CA"/>
    <w:rsid w:val="00AA62B5"/>
    <w:rsid w:val="00AC2877"/>
    <w:rsid w:val="00B054CF"/>
    <w:rsid w:val="00B17A75"/>
    <w:rsid w:val="00B5753B"/>
    <w:rsid w:val="00B64FB9"/>
    <w:rsid w:val="00B73EC7"/>
    <w:rsid w:val="00B8684B"/>
    <w:rsid w:val="00B92AE1"/>
    <w:rsid w:val="00BA0F69"/>
    <w:rsid w:val="00BA5DBC"/>
    <w:rsid w:val="00BA7817"/>
    <w:rsid w:val="00BB0610"/>
    <w:rsid w:val="00BB1531"/>
    <w:rsid w:val="00BB5232"/>
    <w:rsid w:val="00BB624C"/>
    <w:rsid w:val="00C00AA0"/>
    <w:rsid w:val="00C01110"/>
    <w:rsid w:val="00C27819"/>
    <w:rsid w:val="00C4218E"/>
    <w:rsid w:val="00C47172"/>
    <w:rsid w:val="00C57A8A"/>
    <w:rsid w:val="00C62AC4"/>
    <w:rsid w:val="00C73395"/>
    <w:rsid w:val="00C9346C"/>
    <w:rsid w:val="00CC3E25"/>
    <w:rsid w:val="00CC4C91"/>
    <w:rsid w:val="00CD46BD"/>
    <w:rsid w:val="00CE5F2A"/>
    <w:rsid w:val="00D11194"/>
    <w:rsid w:val="00D23D21"/>
    <w:rsid w:val="00D23D24"/>
    <w:rsid w:val="00D42EE9"/>
    <w:rsid w:val="00D650D0"/>
    <w:rsid w:val="00D87A33"/>
    <w:rsid w:val="00D91E6D"/>
    <w:rsid w:val="00DA042B"/>
    <w:rsid w:val="00DB45E5"/>
    <w:rsid w:val="00DD11A2"/>
    <w:rsid w:val="00DE2E46"/>
    <w:rsid w:val="00DF1FBD"/>
    <w:rsid w:val="00E16907"/>
    <w:rsid w:val="00E17947"/>
    <w:rsid w:val="00E30A8F"/>
    <w:rsid w:val="00E7492B"/>
    <w:rsid w:val="00E75035"/>
    <w:rsid w:val="00E875B3"/>
    <w:rsid w:val="00EC058E"/>
    <w:rsid w:val="00ED391D"/>
    <w:rsid w:val="00ED3F34"/>
    <w:rsid w:val="00F12658"/>
    <w:rsid w:val="00F146DE"/>
    <w:rsid w:val="00F16740"/>
    <w:rsid w:val="00F243AD"/>
    <w:rsid w:val="00F34217"/>
    <w:rsid w:val="00F43654"/>
    <w:rsid w:val="00F534FE"/>
    <w:rsid w:val="00F61FCA"/>
    <w:rsid w:val="00FE50C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F23A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23A7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F23A7"/>
  </w:style>
  <w:style w:type="paragraph" w:styleId="a3">
    <w:name w:val="Balloon Text"/>
    <w:basedOn w:val="a"/>
    <w:link w:val="a4"/>
    <w:uiPriority w:val="99"/>
    <w:semiHidden/>
    <w:unhideWhenUsed/>
    <w:rsid w:val="000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3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F34"/>
  </w:style>
  <w:style w:type="paragraph" w:styleId="a8">
    <w:name w:val="footer"/>
    <w:basedOn w:val="a"/>
    <w:link w:val="a9"/>
    <w:uiPriority w:val="99"/>
    <w:unhideWhenUsed/>
    <w:rsid w:val="00ED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F23A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23A7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F23A7"/>
  </w:style>
  <w:style w:type="paragraph" w:styleId="a3">
    <w:name w:val="Balloon Text"/>
    <w:basedOn w:val="a"/>
    <w:link w:val="a4"/>
    <w:uiPriority w:val="99"/>
    <w:semiHidden/>
    <w:unhideWhenUsed/>
    <w:rsid w:val="000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3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3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F34"/>
  </w:style>
  <w:style w:type="paragraph" w:styleId="a8">
    <w:name w:val="footer"/>
    <w:basedOn w:val="a"/>
    <w:link w:val="a9"/>
    <w:uiPriority w:val="99"/>
    <w:unhideWhenUsed/>
    <w:rsid w:val="00ED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9701-2196-41D9-AAB6-02FE44AF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29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OERaz</dc:creator>
  <cp:keywords/>
  <dc:description/>
  <cp:lastModifiedBy>Филипенкова Евгения Михайловна</cp:lastModifiedBy>
  <cp:revision>105</cp:revision>
  <cp:lastPrinted>2023-05-03T02:45:00Z</cp:lastPrinted>
  <dcterms:created xsi:type="dcterms:W3CDTF">2019-04-26T03:37:00Z</dcterms:created>
  <dcterms:modified xsi:type="dcterms:W3CDTF">2023-05-03T02:45:00Z</dcterms:modified>
</cp:coreProperties>
</file>